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附件八：</w:t>
      </w:r>
    </w:p>
    <w:p>
      <w:pPr>
        <w:pStyle w:val="2"/>
      </w:pPr>
      <w:r>
        <w:rPr>
          <w:rFonts w:hint="eastAsia"/>
        </w:rPr>
        <w:t>安徽</w:t>
      </w:r>
      <w:r>
        <w:rPr>
          <w:rFonts w:hint="eastAsia"/>
          <w:lang w:val="en-US" w:eastAsia="zh-CN"/>
        </w:rPr>
        <w:t>省</w:t>
      </w:r>
      <w:r>
        <w:rPr>
          <w:rFonts w:hint="eastAsia"/>
        </w:rPr>
        <w:t>土木建筑工程创新奖（交通运输工程）</w:t>
      </w:r>
    </w:p>
    <w:p>
      <w:pPr>
        <w:pStyle w:val="2"/>
      </w:pPr>
      <w:r>
        <w:rPr>
          <w:rFonts w:hint="eastAsia"/>
        </w:rPr>
        <w:t>申报及评审细则（试行）</w:t>
      </w:r>
    </w:p>
    <w:p>
      <w:pPr>
        <w:pStyle w:val="3"/>
      </w:pPr>
      <w:r>
        <w:rPr>
          <w:rFonts w:hint="eastAsia"/>
        </w:rPr>
        <w:t>第一条 评审依据和目的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土木建筑工程创新奖（交通运输工程）是依据《安徽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土木建筑工程创新奖申报及评审条例（通则）》制定的交通运输工程设计专项奖项，旨在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进一步鼓励我省广大交通运输工程科技工作者的创新精神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提高交通运输工程设计水平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,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推进我省交通运输工程设计的创新和发展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pStyle w:val="3"/>
      </w:pPr>
      <w:r>
        <w:rPr>
          <w:rFonts w:hint="eastAsia"/>
        </w:rPr>
        <w:t>第二条 申报和评审细则的内容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“安徽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土木建筑工程创新奖（交通运输工程）奖项的评选原则、评审工作组织、申报条件、申报程序、评审程序和奖励均见《安徽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土木建筑工程创新奖申报及评审条例（通则）》，本细则说明评选内容、申报材料要求、申报时间和评审时间、评审标准等。</w:t>
      </w:r>
    </w:p>
    <w:p>
      <w:pPr>
        <w:pStyle w:val="3"/>
      </w:pPr>
      <w:r>
        <w:rPr>
          <w:rFonts w:hint="eastAsia"/>
        </w:rPr>
        <w:t>第三条 评选内容和奖项分类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土木建筑工程创新奖（交通运输工程）分为以下两类：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1、交通建筑类：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含二级以上汽车站、交通工程及沿线设施（安全、服务、管理设施等）、城市道路地下综合管廊工程。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2、交通工程类：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含独立特大桥梁或特别复杂桥梁、长（中长）隧道或特殊地质地形隧道；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20公里以上高速公路、一级公路，5公里以上城市主干路；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50公里以上二、三级公路，10公里以上城市次干路；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轨道交通工程；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交通枢纽工程。</w:t>
      </w:r>
    </w:p>
    <w:p>
      <w:pPr>
        <w:pStyle w:val="3"/>
      </w:pPr>
      <w:r>
        <w:rPr>
          <w:rFonts w:hint="eastAsia"/>
        </w:rPr>
        <w:t>第四条 申报材料要求</w:t>
      </w:r>
    </w:p>
    <w:p>
      <w:pPr>
        <w:spacing w:line="50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申报者填写</w:t>
      </w:r>
      <w:r>
        <w:rPr>
          <w:rFonts w:hint="eastAsia" w:ascii="仿宋" w:hAnsi="仿宋" w:eastAsia="仿宋" w:cs="仿宋"/>
          <w:kern w:val="0"/>
          <w:sz w:val="28"/>
          <w:szCs w:val="28"/>
        </w:rPr>
        <w:t>《安徽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土木建筑工程创新奖（专业）申报书》（以下简称“申报书”），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经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申报者所在单位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（或机构）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签署推荐意见，并加盖单位公章。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2、申报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书</w:t>
      </w:r>
      <w:r>
        <w:rPr>
          <w:rFonts w:hint="eastAsia" w:ascii="仿宋" w:hAnsi="仿宋" w:eastAsia="仿宋" w:cs="仿宋"/>
          <w:kern w:val="0"/>
          <w:sz w:val="28"/>
          <w:szCs w:val="28"/>
        </w:rPr>
        <w:t>中应注明主要设计人员，说明各人负责的主要工作内容，排名顺序以申报书上填写顺序为准；主要设计人员一般不宜超过5 人，大型项目不宜超过8 人，超大型项目不宜超过10 人。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3、附件材料：</w:t>
      </w:r>
    </w:p>
    <w:p>
      <w:pPr>
        <w:spacing w:line="500" w:lineRule="exact"/>
        <w:ind w:firstLine="425" w:firstLineChars="15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（1）项目申报单位相应资质证书复印件。</w:t>
      </w:r>
    </w:p>
    <w:p>
      <w:pPr>
        <w:spacing w:line="500" w:lineRule="exact"/>
        <w:ind w:firstLine="425" w:firstLineChars="15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（2）项目竣工验收报告或施工图审查合格证复印件。</w:t>
      </w:r>
    </w:p>
    <w:p>
      <w:pPr>
        <w:spacing w:line="500" w:lineRule="exact"/>
        <w:ind w:firstLine="425" w:firstLineChars="15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（3）反映申报项目设计意图和工程情况的图纸和设计说明（总说明、市政总图或总体布置图、关键节点细部设计图、新技术新工艺新材料应用图纸等）。</w:t>
      </w:r>
    </w:p>
    <w:p>
      <w:pPr>
        <w:spacing w:line="500" w:lineRule="exact"/>
        <w:ind w:firstLine="425" w:firstLineChars="15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（4）反映设计特点的现场照片、科研报告、复杂节点计算书、鉴定评审意见等。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（5）项目设计成果知识产权承诺。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（6）其他相关文件（已获奖励、专项技术成果认定证明，合作单位证明等）。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（7）以上装订成A3文本。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4、以上申报书及附件材料纸质版一式一份，同时提交完整电子版及各文件的扫描件一份（统一发送至电子信箱:）</w:t>
      </w:r>
    </w:p>
    <w:p>
      <w:pPr>
        <w:pStyle w:val="3"/>
      </w:pPr>
      <w:r>
        <w:rPr>
          <w:rFonts w:hint="eastAsia"/>
        </w:rPr>
        <w:t>第五条 申报时间</w:t>
      </w:r>
    </w:p>
    <w:p>
      <w:pPr>
        <w:rPr>
          <w:color w:val="auto"/>
        </w:rPr>
      </w:pPr>
      <w:r>
        <w:rPr>
          <w:rFonts w:hint="eastAsia"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  <w:color w:val="0070C0"/>
        </w:rPr>
        <w:t xml:space="preserve"> </w:t>
      </w:r>
      <w:r>
        <w:rPr>
          <w:rFonts w:hint="eastAsia" w:ascii="仿宋" w:hAnsi="仿宋" w:eastAsia="仿宋" w:cs="仿宋"/>
          <w:color w:val="0070C0"/>
          <w:lang w:val="en-US" w:eastAsia="zh-CN"/>
        </w:rPr>
        <w:t xml:space="preserve"> </w:t>
      </w:r>
      <w:r>
        <w:rPr>
          <w:rStyle w:val="9"/>
          <w:rFonts w:hint="eastAsia" w:ascii="华文仿宋" w:hAnsi="华文仿宋" w:eastAsia="华文仿宋" w:cs="黑体"/>
          <w:b w:val="0"/>
          <w:color w:val="auto"/>
          <w:kern w:val="0"/>
          <w:sz w:val="28"/>
          <w:szCs w:val="28"/>
        </w:rPr>
        <w:t>本奖项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原则上在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奇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数年评选</w:t>
      </w:r>
      <w:r>
        <w:rPr>
          <w:rStyle w:val="9"/>
          <w:rFonts w:hint="eastAsia" w:ascii="华文仿宋" w:hAnsi="华文仿宋" w:eastAsia="华文仿宋" w:cs="黑体"/>
          <w:b w:val="0"/>
          <w:color w:val="auto"/>
          <w:kern w:val="0"/>
          <w:sz w:val="28"/>
          <w:szCs w:val="28"/>
        </w:rPr>
        <w:t>。</w:t>
      </w:r>
    </w:p>
    <w:p>
      <w:pPr>
        <w:widowControl/>
        <w:spacing w:line="500" w:lineRule="exact"/>
        <w:ind w:right="84" w:rightChars="40"/>
        <w:jc w:val="left"/>
        <w:rPr>
          <w:rStyle w:val="9"/>
          <w:rFonts w:hint="eastAsia" w:ascii="华文仿宋" w:hAnsi="华文仿宋" w:eastAsia="华文仿宋" w:cs="黑体"/>
          <w:b w:val="0"/>
          <w:color w:val="auto"/>
          <w:kern w:val="0"/>
          <w:sz w:val="28"/>
          <w:szCs w:val="28"/>
        </w:rPr>
      </w:pPr>
      <w:r>
        <w:rPr>
          <w:rStyle w:val="9"/>
          <w:rFonts w:hint="eastAsia" w:ascii="华文仿宋" w:hAnsi="华文仿宋" w:eastAsia="华文仿宋" w:cs="黑体"/>
          <w:b w:val="0"/>
          <w:color w:val="auto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申报材料应于各专项奖评奖年度的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日前报送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各专业委员会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秘书处。</w:t>
      </w:r>
    </w:p>
    <w:p>
      <w:pPr>
        <w:pStyle w:val="3"/>
      </w:pPr>
      <w:r>
        <w:rPr>
          <w:rFonts w:hint="eastAsia"/>
        </w:rPr>
        <w:t>第六条 评审标准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1、一等奖</w:t>
      </w:r>
    </w:p>
    <w:p>
      <w:pPr>
        <w:widowControl/>
        <w:spacing w:line="500" w:lineRule="exact"/>
        <w:ind w:right="84" w:rightChars="40"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重创新与发展，所采用的主要技术具有突出的创新性，能够解决项目重大关键技术难题，对工程建设与环境的协调可持续发展具有较大贡献，对提高行业设计水平具有指导意义，各项主要指标达到国内同期同类工程先进水平，项目技术服务的经济效益、环境效益和社会效益显著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2、二等奖</w:t>
      </w:r>
    </w:p>
    <w:p>
      <w:pPr>
        <w:widowControl/>
        <w:spacing w:line="500" w:lineRule="exact"/>
        <w:ind w:right="84" w:rightChars="40"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重创新与发展，所采用的主要技术有较大的创新性，能够有效推动项目关键内容的优化提升，对工程建设与环境的协调可持续发展具有较大贡献，对推动交通行业的科技发展具有积极影响，各项主要指标达到国内交通工程设计行业同期同类工程先进水平，项目技术服务的经济效益、环境效益和社会效益明显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3、三等奖</w:t>
      </w:r>
    </w:p>
    <w:p>
      <w:pPr>
        <w:widowControl/>
        <w:spacing w:line="500" w:lineRule="exact"/>
        <w:ind w:right="84" w:rightChars="4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重创新与发展，所采用的主要技术有一定的创新性，对工程建设与环境的协调可持续发展具有具有一定的积极贡献，各项主要指标达到省内交通工程设计行业先进水平，项目技术服务的经济效益、环境效益和社会效益较好。</w:t>
      </w:r>
    </w:p>
    <w:p>
      <w:pPr>
        <w:widowControl/>
        <w:spacing w:line="500" w:lineRule="exact"/>
        <w:ind w:right="84" w:rightChars="4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00" w:lineRule="exact"/>
        <w:ind w:right="84" w:rightChars="4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before="156" w:beforeLines="50" w:line="500" w:lineRule="exac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bookmarkStart w:id="0" w:name="_GoBack"/>
      <w:bookmarkEnd w:id="0"/>
    </w:p>
    <w:p>
      <w:pPr>
        <w:widowControl/>
        <w:spacing w:before="156" w:beforeLines="50" w:line="500" w:lineRule="exac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widowControl/>
        <w:spacing w:line="500" w:lineRule="exact"/>
        <w:ind w:right="84" w:rightChars="4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0324F"/>
    <w:rsid w:val="00163FBE"/>
    <w:rsid w:val="0018583A"/>
    <w:rsid w:val="001B2582"/>
    <w:rsid w:val="00230542"/>
    <w:rsid w:val="00272368"/>
    <w:rsid w:val="002A31E6"/>
    <w:rsid w:val="002F62D6"/>
    <w:rsid w:val="003330B2"/>
    <w:rsid w:val="00343DCF"/>
    <w:rsid w:val="00345BF6"/>
    <w:rsid w:val="003B02CE"/>
    <w:rsid w:val="00421947"/>
    <w:rsid w:val="004473AE"/>
    <w:rsid w:val="00463F15"/>
    <w:rsid w:val="004A4E47"/>
    <w:rsid w:val="004B1AB1"/>
    <w:rsid w:val="005B2C0B"/>
    <w:rsid w:val="005E5562"/>
    <w:rsid w:val="005F64C0"/>
    <w:rsid w:val="006454A3"/>
    <w:rsid w:val="006457B4"/>
    <w:rsid w:val="00660D39"/>
    <w:rsid w:val="006A33D2"/>
    <w:rsid w:val="006B3707"/>
    <w:rsid w:val="00784D3C"/>
    <w:rsid w:val="00844536"/>
    <w:rsid w:val="00881C0E"/>
    <w:rsid w:val="00887D6D"/>
    <w:rsid w:val="008F54AA"/>
    <w:rsid w:val="00953487"/>
    <w:rsid w:val="00976142"/>
    <w:rsid w:val="00AB7CEE"/>
    <w:rsid w:val="00AC4706"/>
    <w:rsid w:val="00AF053A"/>
    <w:rsid w:val="00B90B61"/>
    <w:rsid w:val="00C11196"/>
    <w:rsid w:val="00CA390C"/>
    <w:rsid w:val="00CE1463"/>
    <w:rsid w:val="00E011B7"/>
    <w:rsid w:val="020A354D"/>
    <w:rsid w:val="02B22C50"/>
    <w:rsid w:val="04EB0B4D"/>
    <w:rsid w:val="04F95C6C"/>
    <w:rsid w:val="08FD1BBD"/>
    <w:rsid w:val="0B164A7C"/>
    <w:rsid w:val="0C803897"/>
    <w:rsid w:val="0F54678B"/>
    <w:rsid w:val="0FCB24FD"/>
    <w:rsid w:val="12DC1904"/>
    <w:rsid w:val="14B603E8"/>
    <w:rsid w:val="15E016E3"/>
    <w:rsid w:val="16CA5258"/>
    <w:rsid w:val="17E01302"/>
    <w:rsid w:val="187F5B94"/>
    <w:rsid w:val="1A682CBA"/>
    <w:rsid w:val="1CDB378C"/>
    <w:rsid w:val="1E2E5BDA"/>
    <w:rsid w:val="205B7C13"/>
    <w:rsid w:val="20E868A0"/>
    <w:rsid w:val="21010A4B"/>
    <w:rsid w:val="215A54A1"/>
    <w:rsid w:val="225C1758"/>
    <w:rsid w:val="255478B2"/>
    <w:rsid w:val="25BD702B"/>
    <w:rsid w:val="2FCE1F78"/>
    <w:rsid w:val="3284524D"/>
    <w:rsid w:val="344434B4"/>
    <w:rsid w:val="35AF26B1"/>
    <w:rsid w:val="3752219A"/>
    <w:rsid w:val="39410612"/>
    <w:rsid w:val="3AFC60BF"/>
    <w:rsid w:val="3BF55218"/>
    <w:rsid w:val="415E6A88"/>
    <w:rsid w:val="42BA4C45"/>
    <w:rsid w:val="43BD3328"/>
    <w:rsid w:val="449E3FCD"/>
    <w:rsid w:val="46523024"/>
    <w:rsid w:val="4FC27F92"/>
    <w:rsid w:val="4FD661E7"/>
    <w:rsid w:val="50085695"/>
    <w:rsid w:val="515834FE"/>
    <w:rsid w:val="52D56BAD"/>
    <w:rsid w:val="544B7DD1"/>
    <w:rsid w:val="56167022"/>
    <w:rsid w:val="56AC09D4"/>
    <w:rsid w:val="57494F2F"/>
    <w:rsid w:val="58023EC3"/>
    <w:rsid w:val="59DE48B2"/>
    <w:rsid w:val="5DC4385F"/>
    <w:rsid w:val="5F46451C"/>
    <w:rsid w:val="63E41100"/>
    <w:rsid w:val="65617410"/>
    <w:rsid w:val="66110212"/>
    <w:rsid w:val="678211E5"/>
    <w:rsid w:val="683C4122"/>
    <w:rsid w:val="6B90324F"/>
    <w:rsid w:val="6DDC7218"/>
    <w:rsid w:val="6E3F7265"/>
    <w:rsid w:val="6E765881"/>
    <w:rsid w:val="6EFA0506"/>
    <w:rsid w:val="70CC2946"/>
    <w:rsid w:val="759E68DC"/>
    <w:rsid w:val="795D77D4"/>
    <w:rsid w:val="7BFC0206"/>
    <w:rsid w:val="7C735E16"/>
    <w:rsid w:val="7D7149F0"/>
    <w:rsid w:val="7EB9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ascii="宋体" w:hAnsi="宋体" w:cs="宋体"/>
      <w:b/>
      <w:bCs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/>
      <w:b/>
      <w:sz w:val="3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Indent 3"/>
    <w:basedOn w:val="1"/>
    <w:link w:val="10"/>
    <w:qFormat/>
    <w:uiPriority w:val="0"/>
    <w:pPr>
      <w:ind w:left="900"/>
    </w:pPr>
    <w:rPr>
      <w:rFonts w:ascii="Times New Roman" w:hAnsi="Times New Roman" w:eastAsia="宋体" w:cs="Times New Roman"/>
      <w:sz w:val="2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正文文本缩进 3 Char"/>
    <w:basedOn w:val="8"/>
    <w:link w:val="6"/>
    <w:qFormat/>
    <w:uiPriority w:val="0"/>
    <w:rPr>
      <w:rFonts w:ascii="Times New Roman" w:hAnsi="Times New Roman" w:eastAsia="宋体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FreeSkyCD.Cn</Company>
  <Pages>1</Pages>
  <Words>212</Words>
  <Characters>1213</Characters>
  <Lines>10</Lines>
  <Paragraphs>2</Paragraphs>
  <TotalTime>0</TotalTime>
  <ScaleCrop>false</ScaleCrop>
  <LinksUpToDate>false</LinksUpToDate>
  <CharactersWithSpaces>1423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2016-08-02T08:20:00Z</dcterms:created>
  <dc:creator>Administrator</dc:creator>
  <cp:lastModifiedBy>王璐璐</cp:lastModifiedBy>
  <cp:lastPrinted>2016-08-05T00:53:00Z</cp:lastPrinted>
  <dcterms:modified xsi:type="dcterms:W3CDTF">2021-05-08T07:55:20Z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F3AD66C3FCA64E72AA696739A21F898C</vt:lpwstr>
  </property>
</Properties>
</file>