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color w:val="auto"/>
          <w:sz w:val="84"/>
          <w:szCs w:val="84"/>
        </w:rPr>
      </w:pPr>
      <w:bookmarkStart w:id="268" w:name="_GoBack"/>
      <w:bookmarkEnd w:id="268"/>
      <w:bookmarkStart w:id="0" w:name="_Toc10581"/>
      <w:bookmarkStart w:id="1" w:name="_Toc29263"/>
      <w:bookmarkStart w:id="2" w:name="_Toc4981"/>
      <w:bookmarkStart w:id="3" w:name="_Toc318447333"/>
      <w:bookmarkStart w:id="4" w:name="_Toc19032"/>
    </w:p>
    <w:p>
      <w:pPr>
        <w:adjustRightInd w:val="0"/>
        <w:snapToGrid w:val="0"/>
        <w:spacing w:line="360" w:lineRule="auto"/>
        <w:jc w:val="center"/>
        <w:rPr>
          <w:b/>
          <w:color w:val="auto"/>
          <w:sz w:val="28"/>
          <w:szCs w:val="28"/>
        </w:rPr>
      </w:pPr>
    </w:p>
    <w:p>
      <w:pPr>
        <w:adjustRightInd w:val="0"/>
        <w:snapToGrid w:val="0"/>
        <w:spacing w:line="360" w:lineRule="auto"/>
        <w:jc w:val="center"/>
        <w:rPr>
          <w:b/>
          <w:color w:val="auto"/>
          <w:sz w:val="28"/>
          <w:szCs w:val="28"/>
        </w:rPr>
      </w:pPr>
      <w:r>
        <w:rPr>
          <w:rFonts w:hint="eastAsia"/>
          <w:b/>
          <w:color w:val="auto"/>
          <w:sz w:val="28"/>
          <w:szCs w:val="28"/>
        </w:rPr>
        <w:t>安徽省土木建筑学会团体</w:t>
      </w:r>
      <w:r>
        <w:rPr>
          <w:b/>
          <w:color w:val="auto"/>
          <w:sz w:val="28"/>
          <w:szCs w:val="28"/>
        </w:rPr>
        <w:t>标准</w:t>
      </w:r>
    </w:p>
    <w:p>
      <w:pPr>
        <w:pStyle w:val="10"/>
        <w:rPr>
          <w:rFonts w:hint="eastAsia" w:eastAsia="宋体"/>
          <w:color w:val="auto"/>
          <w:lang w:eastAsia="zh-CN"/>
        </w:rPr>
      </w:pPr>
      <w:r>
        <w:rPr>
          <w:rFonts w:hint="eastAsia"/>
          <w:color w:val="auto"/>
        </w:rPr>
        <w:t xml:space="preserve">                                                  T/CASA</w:t>
      </w:r>
      <w:r>
        <w:rPr>
          <w:color w:val="auto"/>
        </w:rPr>
        <w:t xml:space="preserve"> -</w:t>
      </w:r>
      <w:r>
        <w:rPr>
          <w:rFonts w:hint="eastAsia"/>
          <w:color w:val="auto"/>
        </w:rPr>
        <w:t>XXX-</w:t>
      </w:r>
      <w:r>
        <w:rPr>
          <w:color w:val="auto"/>
        </w:rPr>
        <w:t>2</w:t>
      </w:r>
      <w:r>
        <w:rPr>
          <w:rFonts w:hint="eastAsia"/>
          <w:color w:val="auto"/>
        </w:rPr>
        <w:t>02</w:t>
      </w:r>
      <w:r>
        <w:rPr>
          <w:rFonts w:hint="eastAsia"/>
          <w:color w:val="auto"/>
          <w:lang w:val="en-US" w:eastAsia="zh-CN"/>
        </w:rPr>
        <w:t>2</w:t>
      </w:r>
    </w:p>
    <w:p>
      <w:pPr>
        <w:adjustRightInd w:val="0"/>
        <w:snapToGrid w:val="0"/>
        <w:spacing w:line="360" w:lineRule="auto"/>
        <w:jc w:val="center"/>
        <w:rPr>
          <w:b/>
          <w:color w:val="auto"/>
          <w:sz w:val="28"/>
          <w:szCs w:val="28"/>
        </w:rPr>
      </w:pPr>
    </w:p>
    <w:p>
      <w:pPr>
        <w:adjustRightInd w:val="0"/>
        <w:snapToGrid w:val="0"/>
        <w:spacing w:line="360" w:lineRule="auto"/>
        <w:jc w:val="center"/>
        <w:rPr>
          <w:b/>
          <w:color w:val="auto"/>
          <w:sz w:val="28"/>
          <w:szCs w:val="28"/>
        </w:rPr>
      </w:pPr>
    </w:p>
    <w:p>
      <w:pPr>
        <w:adjustRightInd w:val="0"/>
        <w:snapToGrid w:val="0"/>
        <w:spacing w:line="360" w:lineRule="auto"/>
        <w:jc w:val="center"/>
        <w:rPr>
          <w:b/>
          <w:color w:val="auto"/>
          <w:sz w:val="28"/>
          <w:szCs w:val="28"/>
        </w:rPr>
      </w:pPr>
    </w:p>
    <w:p>
      <w:pPr>
        <w:adjustRightInd w:val="0"/>
        <w:snapToGrid w:val="0"/>
        <w:spacing w:line="360" w:lineRule="auto"/>
        <w:jc w:val="center"/>
        <w:rPr>
          <w:b/>
          <w:color w:val="auto"/>
          <w:sz w:val="28"/>
          <w:szCs w:val="28"/>
        </w:rPr>
      </w:pPr>
    </w:p>
    <w:p>
      <w:pPr>
        <w:adjustRightInd w:val="0"/>
        <w:snapToGrid w:val="0"/>
        <w:spacing w:line="360" w:lineRule="auto"/>
        <w:jc w:val="center"/>
        <w:rPr>
          <w:rFonts w:hint="eastAsia"/>
          <w:b/>
          <w:color w:val="auto"/>
          <w:sz w:val="28"/>
          <w:szCs w:val="28"/>
        </w:rPr>
      </w:pPr>
    </w:p>
    <w:p>
      <w:pPr>
        <w:adjustRightInd w:val="0"/>
        <w:snapToGrid w:val="0"/>
        <w:spacing w:line="360" w:lineRule="auto"/>
        <w:rPr>
          <w:color w:val="auto"/>
          <w:sz w:val="24"/>
        </w:rPr>
      </w:pPr>
    </w:p>
    <w:p>
      <w:pPr>
        <w:adjustRightInd w:val="0"/>
        <w:snapToGrid w:val="0"/>
        <w:spacing w:line="360" w:lineRule="auto"/>
        <w:jc w:val="center"/>
        <w:rPr>
          <w:rFonts w:ascii="黑体" w:hAnsi="黑体" w:eastAsia="黑体" w:cs="宋体"/>
          <w:b/>
          <w:bCs/>
          <w:color w:val="auto"/>
          <w:sz w:val="44"/>
          <w:szCs w:val="44"/>
        </w:rPr>
      </w:pPr>
      <w:r>
        <w:rPr>
          <w:rFonts w:hint="eastAsia" w:ascii="黑体" w:hAnsi="黑体" w:eastAsia="黑体" w:cs="宋体"/>
          <w:b/>
          <w:bCs/>
          <w:color w:val="auto"/>
          <w:sz w:val="44"/>
          <w:szCs w:val="44"/>
        </w:rPr>
        <w:t>特细砂混凝土应用技术规程</w:t>
      </w:r>
    </w:p>
    <w:p>
      <w:pPr>
        <w:jc w:val="center"/>
        <w:rPr>
          <w:rFonts w:hint="eastAsia"/>
          <w:b/>
          <w:color w:val="auto"/>
          <w:sz w:val="28"/>
          <w:szCs w:val="28"/>
        </w:rPr>
      </w:pPr>
      <w:r>
        <w:rPr>
          <w:rFonts w:hint="eastAsia"/>
          <w:b/>
          <w:color w:val="auto"/>
          <w:sz w:val="28"/>
          <w:szCs w:val="28"/>
        </w:rPr>
        <w:t xml:space="preserve">   </w:t>
      </w:r>
    </w:p>
    <w:p>
      <w:pPr>
        <w:jc w:val="center"/>
        <w:rPr>
          <w:rFonts w:hint="eastAsia" w:eastAsia="宋体"/>
          <w:b/>
          <w:color w:val="auto"/>
          <w:sz w:val="32"/>
          <w:szCs w:val="32"/>
          <w:lang w:eastAsia="zh-CN"/>
        </w:rPr>
      </w:pPr>
      <w:r>
        <w:rPr>
          <w:rFonts w:hint="eastAsia"/>
          <w:b/>
          <w:color w:val="auto"/>
          <w:sz w:val="32"/>
          <w:szCs w:val="32"/>
          <w:lang w:eastAsia="zh-CN"/>
        </w:rPr>
        <w:t>（征求意见稿）</w:t>
      </w:r>
    </w:p>
    <w:p>
      <w:pPr>
        <w:adjustRightInd w:val="0"/>
        <w:snapToGrid w:val="0"/>
        <w:spacing w:line="360" w:lineRule="auto"/>
        <w:rPr>
          <w:color w:val="auto"/>
          <w:sz w:val="24"/>
        </w:rPr>
      </w:pPr>
    </w:p>
    <w:p>
      <w:pPr>
        <w:adjustRightInd w:val="0"/>
        <w:snapToGrid w:val="0"/>
        <w:spacing w:line="360" w:lineRule="auto"/>
        <w:jc w:val="center"/>
        <w:rPr>
          <w:color w:val="auto"/>
          <w:sz w:val="24"/>
        </w:rPr>
      </w:pPr>
      <w:r>
        <w:rPr>
          <w:rFonts w:hint="eastAsia"/>
          <w:color w:val="auto"/>
          <w:sz w:val="24"/>
        </w:rPr>
        <w:t xml:space="preserve"> </w:t>
      </w: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rFonts w:hint="eastAsia"/>
          <w:color w:val="auto"/>
          <w:sz w:val="24"/>
        </w:rPr>
      </w:pPr>
    </w:p>
    <w:p>
      <w:pPr>
        <w:adjustRightInd w:val="0"/>
        <w:snapToGrid w:val="0"/>
        <w:spacing w:line="360" w:lineRule="auto"/>
        <w:rPr>
          <w:color w:val="auto"/>
          <w:sz w:val="24"/>
        </w:rPr>
      </w:pPr>
    </w:p>
    <w:p>
      <w:pPr>
        <w:adjustRightInd w:val="0"/>
        <w:snapToGrid w:val="0"/>
        <w:spacing w:line="360" w:lineRule="auto"/>
        <w:rPr>
          <w:rFonts w:hint="eastAsia"/>
          <w:color w:val="auto"/>
          <w:sz w:val="24"/>
        </w:rPr>
      </w:pPr>
    </w:p>
    <w:p>
      <w:pPr>
        <w:adjustRightInd w:val="0"/>
        <w:snapToGrid w:val="0"/>
        <w:spacing w:line="360" w:lineRule="auto"/>
        <w:jc w:val="left"/>
        <w:rPr>
          <w:color w:val="auto"/>
          <w:sz w:val="24"/>
          <w:u w:val="single"/>
        </w:rPr>
      </w:pPr>
      <w:r>
        <w:rPr>
          <w:color w:val="auto"/>
          <w:sz w:val="24"/>
          <w:u w:val="single"/>
        </w:rPr>
        <w:t>20</w:t>
      </w:r>
      <w:r>
        <w:rPr>
          <w:rFonts w:hint="eastAsia"/>
          <w:color w:val="auto"/>
          <w:sz w:val="24"/>
          <w:u w:val="single"/>
        </w:rPr>
        <w:t>2</w:t>
      </w:r>
      <w:r>
        <w:rPr>
          <w:rFonts w:hint="eastAsia"/>
          <w:color w:val="auto"/>
          <w:sz w:val="24"/>
          <w:u w:val="single"/>
          <w:lang w:val="en-US" w:eastAsia="zh-CN"/>
        </w:rPr>
        <w:t>2</w:t>
      </w:r>
      <w:r>
        <w:rPr>
          <w:color w:val="auto"/>
          <w:sz w:val="24"/>
          <w:u w:val="single"/>
        </w:rPr>
        <w:t>-</w:t>
      </w:r>
      <w:r>
        <w:rPr>
          <w:rFonts w:hint="eastAsia"/>
          <w:color w:val="auto"/>
          <w:sz w:val="24"/>
          <w:u w:val="single"/>
        </w:rPr>
        <w:t>XX</w:t>
      </w:r>
      <w:r>
        <w:rPr>
          <w:color w:val="auto"/>
          <w:sz w:val="24"/>
          <w:u w:val="single"/>
        </w:rPr>
        <w:t>-</w:t>
      </w:r>
      <w:r>
        <w:rPr>
          <w:rFonts w:hint="eastAsia"/>
          <w:color w:val="auto"/>
          <w:sz w:val="24"/>
          <w:u w:val="single"/>
        </w:rPr>
        <w:t>XX</w:t>
      </w:r>
      <w:r>
        <w:rPr>
          <w:color w:val="auto"/>
          <w:sz w:val="24"/>
          <w:u w:val="single"/>
        </w:rPr>
        <w:t>发布                                     20</w:t>
      </w:r>
      <w:r>
        <w:rPr>
          <w:rFonts w:hint="eastAsia"/>
          <w:color w:val="auto"/>
          <w:sz w:val="24"/>
          <w:u w:val="single"/>
        </w:rPr>
        <w:t>2</w:t>
      </w:r>
      <w:r>
        <w:rPr>
          <w:rFonts w:hint="eastAsia"/>
          <w:color w:val="auto"/>
          <w:sz w:val="24"/>
          <w:u w:val="single"/>
          <w:lang w:val="en-US" w:eastAsia="zh-CN"/>
        </w:rPr>
        <w:t>2</w:t>
      </w:r>
      <w:r>
        <w:rPr>
          <w:color w:val="auto"/>
          <w:sz w:val="24"/>
          <w:u w:val="single"/>
        </w:rPr>
        <w:t>-</w:t>
      </w:r>
      <w:r>
        <w:rPr>
          <w:rFonts w:hint="eastAsia"/>
          <w:color w:val="auto"/>
          <w:sz w:val="24"/>
          <w:u w:val="single"/>
        </w:rPr>
        <w:t>XX</w:t>
      </w:r>
      <w:r>
        <w:rPr>
          <w:color w:val="auto"/>
          <w:sz w:val="24"/>
          <w:u w:val="single"/>
        </w:rPr>
        <w:t>-</w:t>
      </w:r>
      <w:r>
        <w:rPr>
          <w:rFonts w:hint="eastAsia"/>
          <w:color w:val="auto"/>
          <w:sz w:val="24"/>
          <w:u w:val="single"/>
        </w:rPr>
        <w:t>XX</w:t>
      </w:r>
      <w:r>
        <w:rPr>
          <w:color w:val="auto"/>
          <w:sz w:val="24"/>
          <w:u w:val="single"/>
        </w:rPr>
        <w:t xml:space="preserve">实施  </w:t>
      </w:r>
    </w:p>
    <w:p>
      <w:pPr>
        <w:adjustRightInd w:val="0"/>
        <w:snapToGrid w:val="0"/>
        <w:spacing w:line="360" w:lineRule="auto"/>
        <w:ind w:firstLine="2891" w:firstLineChars="1200"/>
        <w:rPr>
          <w:rFonts w:hint="eastAsia"/>
          <w:b/>
          <w:color w:val="auto"/>
          <w:sz w:val="24"/>
        </w:rPr>
      </w:pPr>
      <w:r>
        <w:rPr>
          <w:rFonts w:hint="eastAsia"/>
          <w:b/>
          <w:color w:val="auto"/>
          <w:sz w:val="24"/>
        </w:rPr>
        <w:t>安徽省</w:t>
      </w:r>
      <w:r>
        <w:rPr>
          <w:b/>
          <w:color w:val="auto"/>
          <w:sz w:val="24"/>
        </w:rPr>
        <w:t>土木建筑学会发布</w:t>
      </w:r>
    </w:p>
    <w:p>
      <w:pPr>
        <w:adjustRightInd w:val="0"/>
        <w:snapToGrid w:val="0"/>
        <w:spacing w:line="360" w:lineRule="auto"/>
        <w:ind w:firstLine="2891" w:firstLineChars="1200"/>
        <w:rPr>
          <w:b/>
          <w:color w:val="auto"/>
          <w:sz w:val="24"/>
        </w:rPr>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spacing w:line="360" w:lineRule="auto"/>
        <w:jc w:val="center"/>
        <w:rPr>
          <w:b/>
          <w:color w:val="auto"/>
          <w:szCs w:val="28"/>
        </w:rPr>
      </w:pPr>
    </w:p>
    <w:p>
      <w:pPr>
        <w:spacing w:line="360" w:lineRule="auto"/>
        <w:jc w:val="center"/>
        <w:rPr>
          <w:b/>
          <w:color w:val="auto"/>
          <w:szCs w:val="28"/>
        </w:rPr>
      </w:pPr>
    </w:p>
    <w:p>
      <w:pPr>
        <w:spacing w:line="360" w:lineRule="auto"/>
        <w:jc w:val="center"/>
        <w:rPr>
          <w:b/>
          <w:color w:val="auto"/>
          <w:szCs w:val="28"/>
        </w:rPr>
      </w:pPr>
    </w:p>
    <w:p>
      <w:pPr>
        <w:spacing w:line="360" w:lineRule="auto"/>
        <w:jc w:val="center"/>
        <w:rPr>
          <w:rFonts w:hint="eastAsia"/>
          <w:b/>
          <w:color w:val="auto"/>
          <w:szCs w:val="28"/>
        </w:rPr>
      </w:pPr>
    </w:p>
    <w:p>
      <w:pPr>
        <w:adjustRightInd w:val="0"/>
        <w:snapToGrid w:val="0"/>
        <w:spacing w:line="360" w:lineRule="auto"/>
        <w:jc w:val="center"/>
        <w:rPr>
          <w:b/>
          <w:color w:val="auto"/>
          <w:sz w:val="28"/>
          <w:szCs w:val="28"/>
        </w:rPr>
      </w:pPr>
      <w:r>
        <w:rPr>
          <w:rFonts w:hint="eastAsia"/>
          <w:b/>
          <w:color w:val="auto"/>
          <w:sz w:val="28"/>
          <w:szCs w:val="28"/>
        </w:rPr>
        <w:t>安徽省土木建筑学会团体</w:t>
      </w:r>
      <w:r>
        <w:rPr>
          <w:b/>
          <w:color w:val="auto"/>
          <w:sz w:val="28"/>
          <w:szCs w:val="28"/>
        </w:rPr>
        <w:t>标准</w:t>
      </w:r>
    </w:p>
    <w:p>
      <w:pPr>
        <w:spacing w:line="360" w:lineRule="auto"/>
        <w:jc w:val="center"/>
        <w:rPr>
          <w:b/>
          <w:color w:val="auto"/>
          <w:sz w:val="44"/>
          <w:szCs w:val="44"/>
        </w:rPr>
      </w:pPr>
    </w:p>
    <w:p>
      <w:pPr>
        <w:spacing w:line="360" w:lineRule="auto"/>
        <w:jc w:val="center"/>
        <w:rPr>
          <w:rFonts w:ascii="宋体" w:hAnsi="宋体" w:cs="宋体"/>
          <w:b/>
          <w:color w:val="auto"/>
          <w:sz w:val="44"/>
          <w:szCs w:val="44"/>
        </w:rPr>
      </w:pPr>
    </w:p>
    <w:p>
      <w:pPr>
        <w:keepNext/>
        <w:adjustRightInd w:val="0"/>
        <w:snapToGrid w:val="0"/>
        <w:spacing w:line="360" w:lineRule="auto"/>
        <w:jc w:val="center"/>
        <w:rPr>
          <w:rFonts w:ascii="黑体" w:hAnsi="黑体" w:eastAsia="黑体" w:cs="宋体"/>
          <w:b/>
          <w:bCs/>
          <w:color w:val="auto"/>
          <w:sz w:val="44"/>
          <w:szCs w:val="44"/>
        </w:rPr>
      </w:pPr>
      <w:r>
        <w:rPr>
          <w:rFonts w:hint="eastAsia" w:ascii="黑体" w:hAnsi="黑体" w:eastAsia="黑体" w:cs="宋体"/>
          <w:b/>
          <w:bCs/>
          <w:color w:val="auto"/>
          <w:sz w:val="44"/>
          <w:szCs w:val="44"/>
        </w:rPr>
        <w:t>特细砂混凝土应用技术规程</w:t>
      </w:r>
    </w:p>
    <w:p>
      <w:pPr>
        <w:adjustRightInd w:val="0"/>
        <w:snapToGrid w:val="0"/>
        <w:spacing w:line="360" w:lineRule="auto"/>
        <w:jc w:val="center"/>
        <w:rPr>
          <w:rFonts w:hint="eastAsia"/>
          <w:color w:val="auto"/>
          <w:sz w:val="28"/>
        </w:rPr>
      </w:pPr>
    </w:p>
    <w:p>
      <w:pPr>
        <w:adjustRightInd w:val="0"/>
        <w:snapToGrid w:val="0"/>
        <w:spacing w:line="360" w:lineRule="auto"/>
        <w:jc w:val="center"/>
        <w:rPr>
          <w:rFonts w:hint="eastAsia"/>
          <w:color w:val="auto"/>
          <w:sz w:val="28"/>
        </w:rPr>
      </w:pPr>
    </w:p>
    <w:p>
      <w:pPr>
        <w:spacing w:line="360" w:lineRule="auto"/>
        <w:ind w:right="560"/>
        <w:rPr>
          <w:color w:val="auto"/>
          <w:sz w:val="32"/>
          <w:szCs w:val="32"/>
        </w:rPr>
      </w:pPr>
    </w:p>
    <w:p>
      <w:pPr>
        <w:spacing w:line="360" w:lineRule="auto"/>
        <w:ind w:right="560"/>
        <w:rPr>
          <w:color w:val="auto"/>
          <w:sz w:val="32"/>
          <w:szCs w:val="32"/>
        </w:rPr>
      </w:pPr>
    </w:p>
    <w:p>
      <w:pPr>
        <w:spacing w:line="360" w:lineRule="auto"/>
        <w:jc w:val="center"/>
        <w:rPr>
          <w:rFonts w:hint="eastAsia" w:eastAsia="黑体"/>
          <w:b/>
          <w:color w:val="auto"/>
          <w:sz w:val="28"/>
          <w:szCs w:val="28"/>
          <w:lang w:eastAsia="zh-CN"/>
        </w:rPr>
      </w:pPr>
      <w:r>
        <w:rPr>
          <w:rFonts w:hint="eastAsia" w:eastAsia="黑体"/>
          <w:b/>
          <w:color w:val="auto"/>
          <w:sz w:val="28"/>
          <w:szCs w:val="28"/>
        </w:rPr>
        <w:t>T/CASA</w:t>
      </w:r>
      <w:r>
        <w:rPr>
          <w:rFonts w:eastAsia="黑体"/>
          <w:b/>
          <w:color w:val="auto"/>
          <w:sz w:val="28"/>
          <w:szCs w:val="28"/>
        </w:rPr>
        <w:t>-</w:t>
      </w:r>
      <w:r>
        <w:rPr>
          <w:rFonts w:hint="eastAsia" w:eastAsia="黑体"/>
          <w:b/>
          <w:color w:val="auto"/>
          <w:sz w:val="28"/>
          <w:szCs w:val="28"/>
        </w:rPr>
        <w:t>XXX</w:t>
      </w:r>
      <w:r>
        <w:rPr>
          <w:rFonts w:eastAsia="黑体"/>
          <w:b/>
          <w:color w:val="auto"/>
          <w:sz w:val="28"/>
          <w:szCs w:val="28"/>
        </w:rPr>
        <w:t>-</w:t>
      </w:r>
      <w:r>
        <w:rPr>
          <w:rFonts w:hint="eastAsia" w:eastAsia="黑体"/>
          <w:b/>
          <w:color w:val="auto"/>
          <w:sz w:val="28"/>
          <w:szCs w:val="28"/>
        </w:rPr>
        <w:t>202</w:t>
      </w:r>
      <w:r>
        <w:rPr>
          <w:rFonts w:hint="eastAsia" w:eastAsia="黑体"/>
          <w:b/>
          <w:color w:val="auto"/>
          <w:sz w:val="28"/>
          <w:szCs w:val="28"/>
          <w:lang w:val="en-US" w:eastAsia="zh-CN"/>
        </w:rPr>
        <w:t>2</w:t>
      </w:r>
    </w:p>
    <w:p>
      <w:pPr>
        <w:spacing w:line="360" w:lineRule="auto"/>
        <w:rPr>
          <w:color w:val="auto"/>
          <w:sz w:val="32"/>
          <w:szCs w:val="32"/>
        </w:rPr>
      </w:pPr>
    </w:p>
    <w:p>
      <w:pPr>
        <w:spacing w:line="360" w:lineRule="auto"/>
        <w:rPr>
          <w:color w:val="auto"/>
        </w:rPr>
      </w:pPr>
    </w:p>
    <w:p>
      <w:pPr>
        <w:spacing w:line="360" w:lineRule="auto"/>
        <w:jc w:val="center"/>
        <w:rPr>
          <w:b/>
          <w:color w:val="auto"/>
          <w:sz w:val="32"/>
          <w:szCs w:val="32"/>
        </w:rPr>
      </w:pPr>
    </w:p>
    <w:p>
      <w:pPr>
        <w:spacing w:line="360" w:lineRule="auto"/>
        <w:jc w:val="center"/>
        <w:rPr>
          <w:b/>
          <w:color w:val="auto"/>
          <w:sz w:val="32"/>
          <w:szCs w:val="32"/>
        </w:rPr>
      </w:pPr>
    </w:p>
    <w:p>
      <w:pPr>
        <w:spacing w:line="360" w:lineRule="auto"/>
        <w:jc w:val="center"/>
        <w:rPr>
          <w:b/>
          <w:color w:val="auto"/>
          <w:sz w:val="32"/>
          <w:szCs w:val="32"/>
        </w:rPr>
      </w:pPr>
    </w:p>
    <w:p>
      <w:pPr>
        <w:snapToGrid w:val="0"/>
        <w:spacing w:line="360" w:lineRule="auto"/>
        <w:contextualSpacing/>
        <w:rPr>
          <w:color w:val="auto"/>
          <w:szCs w:val="28"/>
        </w:rPr>
      </w:pPr>
      <w:r>
        <w:rPr>
          <w:color w:val="auto"/>
          <w:szCs w:val="28"/>
        </w:rPr>
        <w:t xml:space="preserve">                       主编单位：</w:t>
      </w:r>
    </w:p>
    <w:p>
      <w:pPr>
        <w:snapToGrid w:val="0"/>
        <w:spacing w:line="360" w:lineRule="auto"/>
        <w:contextualSpacing/>
        <w:rPr>
          <w:color w:val="auto"/>
          <w:szCs w:val="28"/>
        </w:rPr>
      </w:pPr>
    </w:p>
    <w:p>
      <w:pPr>
        <w:snapToGrid w:val="0"/>
        <w:spacing w:line="360" w:lineRule="auto"/>
        <w:contextualSpacing/>
        <w:rPr>
          <w:color w:val="auto"/>
          <w:szCs w:val="28"/>
        </w:rPr>
      </w:pPr>
      <w:r>
        <w:rPr>
          <w:color w:val="auto"/>
          <w:szCs w:val="28"/>
        </w:rPr>
        <w:t xml:space="preserve">                       批准部门：</w:t>
      </w:r>
    </w:p>
    <w:p>
      <w:pPr>
        <w:adjustRightInd w:val="0"/>
        <w:snapToGrid w:val="0"/>
        <w:spacing w:line="360" w:lineRule="auto"/>
        <w:contextualSpacing/>
        <w:rPr>
          <w:color w:val="auto"/>
        </w:rPr>
      </w:pPr>
      <w:r>
        <w:rPr>
          <w:color w:val="auto"/>
          <w:szCs w:val="28"/>
        </w:rPr>
        <w:t xml:space="preserve">                       施行日期：    </w:t>
      </w:r>
    </w:p>
    <w:p>
      <w:pPr>
        <w:spacing w:line="360" w:lineRule="auto"/>
        <w:jc w:val="center"/>
        <w:rPr>
          <w:b/>
          <w:color w:val="auto"/>
          <w:sz w:val="32"/>
          <w:szCs w:val="32"/>
        </w:rPr>
      </w:pPr>
    </w:p>
    <w:p>
      <w:pPr>
        <w:spacing w:line="360" w:lineRule="auto"/>
        <w:jc w:val="center"/>
        <w:rPr>
          <w:b/>
          <w:color w:val="auto"/>
          <w:sz w:val="32"/>
          <w:szCs w:val="32"/>
        </w:rPr>
      </w:pPr>
    </w:p>
    <w:p>
      <w:pPr>
        <w:spacing w:line="360" w:lineRule="auto"/>
        <w:jc w:val="center"/>
        <w:rPr>
          <w:b/>
          <w:color w:val="auto"/>
          <w:sz w:val="32"/>
          <w:szCs w:val="32"/>
        </w:rPr>
      </w:pPr>
    </w:p>
    <w:p>
      <w:pPr>
        <w:spacing w:line="360" w:lineRule="auto"/>
        <w:jc w:val="center"/>
        <w:rPr>
          <w:rFonts w:ascii="宋体" w:hAnsi="宋体"/>
          <w:color w:val="auto"/>
          <w:sz w:val="24"/>
        </w:rPr>
      </w:pPr>
      <w:r>
        <w:rPr>
          <w:b/>
          <w:color w:val="auto"/>
          <w:sz w:val="32"/>
          <w:szCs w:val="32"/>
        </w:rPr>
        <w:t>前</w:t>
      </w:r>
      <w:r>
        <w:rPr>
          <w:rFonts w:hint="eastAsia"/>
          <w:b/>
          <w:color w:val="auto"/>
          <w:sz w:val="32"/>
          <w:szCs w:val="32"/>
        </w:rPr>
        <w:t xml:space="preserve"> </w:t>
      </w:r>
      <w:r>
        <w:rPr>
          <w:b/>
          <w:color w:val="auto"/>
          <w:sz w:val="32"/>
          <w:szCs w:val="32"/>
        </w:rPr>
        <w:t>言</w:t>
      </w:r>
    </w:p>
    <w:p>
      <w:pPr>
        <w:spacing w:line="360" w:lineRule="auto"/>
        <w:ind w:firstLine="480"/>
        <w:rPr>
          <w:rFonts w:hint="eastAsia"/>
          <w:color w:val="auto"/>
          <w:sz w:val="24"/>
        </w:rPr>
      </w:pPr>
      <w:r>
        <w:rPr>
          <w:rFonts w:hint="eastAsia" w:ascii="宋体" w:hAnsi="宋体"/>
          <w:color w:val="auto"/>
          <w:sz w:val="24"/>
        </w:rPr>
        <w:t>根据安徽省土木建筑学会文件《关于批</w:t>
      </w:r>
      <w:r>
        <w:rPr>
          <w:color w:val="auto"/>
          <w:sz w:val="24"/>
        </w:rPr>
        <w:t>准</w:t>
      </w:r>
      <w:r>
        <w:rPr>
          <w:rFonts w:hint="eastAsia"/>
          <w:color w:val="auto"/>
          <w:sz w:val="24"/>
        </w:rPr>
        <w:t>学会</w:t>
      </w:r>
      <w:r>
        <w:rPr>
          <w:color w:val="auto"/>
          <w:sz w:val="24"/>
        </w:rPr>
        <w:t>2020年第</w:t>
      </w:r>
      <w:r>
        <w:rPr>
          <w:rFonts w:hint="eastAsia"/>
          <w:color w:val="auto"/>
          <w:sz w:val="24"/>
        </w:rPr>
        <w:t>一</w:t>
      </w:r>
      <w:r>
        <w:rPr>
          <w:color w:val="auto"/>
          <w:sz w:val="24"/>
        </w:rPr>
        <w:t>批团体标准立项的通知》（皖建学字</w:t>
      </w:r>
      <w:r>
        <w:rPr>
          <w:rFonts w:hint="eastAsia"/>
          <w:color w:val="auto"/>
          <w:sz w:val="24"/>
        </w:rPr>
        <w:t>〔2020〕7</w:t>
      </w:r>
      <w:r>
        <w:rPr>
          <w:color w:val="auto"/>
          <w:sz w:val="24"/>
        </w:rPr>
        <w:t>号）下达的任务要求，结合《安徽省土木建筑学会标准管理办法（暂行）》规定，规程编制组经广泛调查研究、认真总结</w:t>
      </w:r>
      <w:r>
        <w:rPr>
          <w:rFonts w:hint="eastAsia"/>
          <w:color w:val="auto"/>
          <w:sz w:val="24"/>
        </w:rPr>
        <w:t>生产</w:t>
      </w:r>
      <w:r>
        <w:rPr>
          <w:color w:val="auto"/>
          <w:sz w:val="24"/>
        </w:rPr>
        <w:t>实践经验，参考有关国家</w:t>
      </w:r>
      <w:r>
        <w:rPr>
          <w:rFonts w:hint="eastAsia"/>
          <w:color w:val="auto"/>
          <w:sz w:val="24"/>
        </w:rPr>
        <w:t>、</w:t>
      </w:r>
      <w:r>
        <w:rPr>
          <w:color w:val="auto"/>
          <w:sz w:val="24"/>
        </w:rPr>
        <w:t>行业</w:t>
      </w:r>
      <w:r>
        <w:rPr>
          <w:rFonts w:hint="eastAsia"/>
          <w:color w:val="auto"/>
          <w:sz w:val="24"/>
        </w:rPr>
        <w:t>及</w:t>
      </w:r>
      <w:r>
        <w:rPr>
          <w:color w:val="auto"/>
          <w:sz w:val="24"/>
        </w:rPr>
        <w:t>地方标准，并在广泛充分征求意见的基础上，编制《</w:t>
      </w:r>
      <w:r>
        <w:rPr>
          <w:rFonts w:hint="eastAsia"/>
          <w:color w:val="auto"/>
          <w:sz w:val="24"/>
        </w:rPr>
        <w:t>特细砂混凝土应用技术规程</w:t>
      </w:r>
      <w:r>
        <w:rPr>
          <w:color w:val="auto"/>
          <w:sz w:val="24"/>
        </w:rPr>
        <w:t>》</w:t>
      </w:r>
      <w:r>
        <w:rPr>
          <w:rFonts w:hint="eastAsia"/>
          <w:color w:val="auto"/>
          <w:sz w:val="24"/>
        </w:rPr>
        <w:t>。</w:t>
      </w:r>
    </w:p>
    <w:p>
      <w:pPr>
        <w:spacing w:line="360" w:lineRule="auto"/>
        <w:ind w:firstLine="480"/>
        <w:rPr>
          <w:color w:val="auto"/>
          <w:sz w:val="24"/>
        </w:rPr>
      </w:pPr>
      <w:r>
        <w:rPr>
          <w:color w:val="auto"/>
          <w:sz w:val="24"/>
        </w:rPr>
        <w:t>本规程共分</w:t>
      </w:r>
      <w:r>
        <w:rPr>
          <w:rFonts w:hint="eastAsia"/>
          <w:color w:val="auto"/>
          <w:sz w:val="24"/>
        </w:rPr>
        <w:t>8</w:t>
      </w:r>
      <w:r>
        <w:rPr>
          <w:color w:val="auto"/>
          <w:sz w:val="24"/>
        </w:rPr>
        <w:t>章。其主要技术内容包括：总则、</w:t>
      </w:r>
      <w:r>
        <w:rPr>
          <w:rFonts w:hint="eastAsia"/>
          <w:color w:val="auto"/>
          <w:sz w:val="24"/>
        </w:rPr>
        <w:t>术语和符号</w:t>
      </w:r>
      <w:r>
        <w:rPr>
          <w:color w:val="auto"/>
          <w:sz w:val="24"/>
        </w:rPr>
        <w:t>、基本规定、</w:t>
      </w:r>
      <w:r>
        <w:rPr>
          <w:rFonts w:hint="eastAsia"/>
          <w:color w:val="auto"/>
          <w:sz w:val="24"/>
          <w:lang w:eastAsia="zh-CN"/>
        </w:rPr>
        <w:t>特细砂</w:t>
      </w:r>
      <w:r>
        <w:rPr>
          <w:color w:val="auto"/>
          <w:sz w:val="24"/>
        </w:rPr>
        <w:t>、</w:t>
      </w:r>
      <w:r>
        <w:rPr>
          <w:rFonts w:hint="eastAsia"/>
          <w:color w:val="auto"/>
          <w:sz w:val="24"/>
        </w:rPr>
        <w:t>混凝土性能</w:t>
      </w:r>
      <w:r>
        <w:rPr>
          <w:color w:val="auto"/>
          <w:sz w:val="24"/>
        </w:rPr>
        <w:t>、配合比、</w:t>
      </w:r>
      <w:r>
        <w:rPr>
          <w:rFonts w:hint="eastAsia"/>
          <w:color w:val="auto"/>
          <w:sz w:val="24"/>
        </w:rPr>
        <w:t>生产与施工</w:t>
      </w:r>
      <w:r>
        <w:rPr>
          <w:color w:val="auto"/>
          <w:sz w:val="24"/>
        </w:rPr>
        <w:t>、</w:t>
      </w:r>
      <w:r>
        <w:rPr>
          <w:rFonts w:hint="eastAsia"/>
          <w:color w:val="auto"/>
          <w:sz w:val="24"/>
        </w:rPr>
        <w:t>质量检验与验收</w:t>
      </w:r>
      <w:r>
        <w:rPr>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本规程由安徽省土木建筑学会归口</w:t>
      </w:r>
      <w:r>
        <w:rPr>
          <w:rFonts w:hint="eastAsia" w:ascii="宋体" w:hAnsi="宋体"/>
          <w:color w:val="auto"/>
          <w:sz w:val="24"/>
        </w:rPr>
        <w:t>管理，委托安徽建工</w:t>
      </w:r>
      <w:r>
        <w:rPr>
          <w:rFonts w:hint="eastAsia" w:ascii="宋体" w:hAnsi="宋体"/>
          <w:color w:val="auto"/>
          <w:sz w:val="24"/>
          <w:lang w:eastAsia="zh-CN"/>
        </w:rPr>
        <w:t>建材科技集团有限公司</w:t>
      </w:r>
      <w:r>
        <w:rPr>
          <w:rFonts w:hint="eastAsia" w:ascii="宋体" w:hAnsi="宋体"/>
          <w:color w:val="auto"/>
          <w:sz w:val="24"/>
        </w:rPr>
        <w:t>负责具体技术内容的解释。本规程在执行过程中如有意见或建议，请将相关意见和有关资料反馈至安徽建工</w:t>
      </w:r>
      <w:r>
        <w:rPr>
          <w:rFonts w:hint="eastAsia" w:ascii="宋体" w:hAnsi="宋体"/>
          <w:color w:val="auto"/>
          <w:sz w:val="24"/>
          <w:lang w:eastAsia="zh-CN"/>
        </w:rPr>
        <w:t>建材科技集团有限公司</w:t>
      </w:r>
      <w:r>
        <w:rPr>
          <w:rFonts w:hint="eastAsia" w:ascii="宋体" w:hAnsi="宋体"/>
          <w:color w:val="auto"/>
          <w:sz w:val="24"/>
        </w:rPr>
        <w:t>（地址：安徽省合肥市芜湖路</w:t>
      </w:r>
      <w:r>
        <w:rPr>
          <w:color w:val="auto"/>
          <w:sz w:val="24"/>
        </w:rPr>
        <w:t>325号，邮编：230001，电话；0551-6618</w:t>
      </w:r>
      <w:r>
        <w:rPr>
          <w:rFonts w:hint="eastAsia"/>
          <w:color w:val="auto"/>
          <w:sz w:val="24"/>
        </w:rPr>
        <w:t>6630</w:t>
      </w:r>
      <w:r>
        <w:rPr>
          <w:color w:val="auto"/>
          <w:sz w:val="24"/>
        </w:rPr>
        <w:t>，电子邮箱：</w:t>
      </w:r>
      <w:r>
        <w:rPr>
          <w:rFonts w:hint="eastAsia"/>
          <w:color w:val="auto"/>
          <w:sz w:val="24"/>
        </w:rPr>
        <w:t>476424446</w:t>
      </w:r>
      <w:r>
        <w:rPr>
          <w:color w:val="auto"/>
          <w:sz w:val="24"/>
        </w:rPr>
        <w:t>@qq.com），</w:t>
      </w:r>
      <w:r>
        <w:rPr>
          <w:rFonts w:hint="eastAsia" w:ascii="宋体" w:hAnsi="宋体"/>
          <w:color w:val="auto"/>
          <w:sz w:val="24"/>
        </w:rPr>
        <w:t>以供今后修订时参考。</w:t>
      </w:r>
    </w:p>
    <w:p>
      <w:pPr>
        <w:spacing w:line="360" w:lineRule="auto"/>
        <w:ind w:firstLine="480" w:firstLineChars="200"/>
        <w:rPr>
          <w:rFonts w:hint="eastAsia" w:ascii="宋体" w:hAnsi="宋体"/>
          <w:color w:val="auto"/>
          <w:sz w:val="24"/>
        </w:rPr>
      </w:pPr>
      <w:r>
        <w:rPr>
          <w:rFonts w:ascii="宋体" w:hAnsi="宋体"/>
          <w:color w:val="auto"/>
          <w:sz w:val="24"/>
        </w:rPr>
        <w:t>本</w:t>
      </w:r>
      <w:r>
        <w:rPr>
          <w:rFonts w:hint="eastAsia" w:ascii="宋体" w:hAnsi="宋体"/>
          <w:color w:val="auto"/>
          <w:sz w:val="24"/>
        </w:rPr>
        <w:t>规程</w:t>
      </w:r>
      <w:r>
        <w:rPr>
          <w:rFonts w:ascii="宋体" w:hAnsi="宋体"/>
          <w:color w:val="auto"/>
          <w:sz w:val="24"/>
        </w:rPr>
        <w:t>主编单位：</w:t>
      </w:r>
    </w:p>
    <w:p>
      <w:pPr>
        <w:spacing w:line="360" w:lineRule="auto"/>
        <w:ind w:firstLine="480" w:firstLineChars="200"/>
        <w:rPr>
          <w:rFonts w:ascii="宋体" w:hAnsi="宋体"/>
          <w:color w:val="auto"/>
          <w:sz w:val="24"/>
        </w:rPr>
      </w:pPr>
      <w:r>
        <w:rPr>
          <w:rFonts w:ascii="宋体" w:hAnsi="宋体"/>
          <w:color w:val="auto"/>
          <w:sz w:val="24"/>
        </w:rPr>
        <w:t>本</w:t>
      </w:r>
      <w:r>
        <w:rPr>
          <w:rFonts w:hint="eastAsia" w:ascii="宋体" w:hAnsi="宋体"/>
          <w:color w:val="auto"/>
          <w:sz w:val="24"/>
        </w:rPr>
        <w:t>规程</w:t>
      </w:r>
      <w:r>
        <w:rPr>
          <w:rFonts w:ascii="宋体" w:hAnsi="宋体"/>
          <w:color w:val="auto"/>
          <w:sz w:val="24"/>
        </w:rPr>
        <w:t>参编单位：</w:t>
      </w:r>
    </w:p>
    <w:p>
      <w:pPr>
        <w:spacing w:line="360" w:lineRule="auto"/>
        <w:ind w:firstLine="480" w:firstLineChars="200"/>
        <w:rPr>
          <w:rFonts w:hint="eastAsia" w:ascii="宋体" w:hAnsi="宋体"/>
          <w:color w:val="auto"/>
          <w:sz w:val="24"/>
        </w:rPr>
      </w:pPr>
      <w:r>
        <w:rPr>
          <w:rFonts w:ascii="宋体" w:hAnsi="宋体"/>
          <w:color w:val="auto"/>
          <w:sz w:val="24"/>
        </w:rPr>
        <w:t>本</w:t>
      </w:r>
      <w:r>
        <w:rPr>
          <w:rFonts w:hint="eastAsia" w:ascii="宋体" w:hAnsi="宋体"/>
          <w:color w:val="auto"/>
          <w:sz w:val="24"/>
        </w:rPr>
        <w:t>规程</w:t>
      </w:r>
      <w:r>
        <w:rPr>
          <w:rFonts w:ascii="宋体" w:hAnsi="宋体"/>
          <w:color w:val="auto"/>
          <w:sz w:val="24"/>
        </w:rPr>
        <w:t>主要起草人：</w:t>
      </w:r>
    </w:p>
    <w:p>
      <w:pPr>
        <w:spacing w:line="360" w:lineRule="auto"/>
        <w:ind w:firstLine="480" w:firstLineChars="200"/>
        <w:rPr>
          <w:rFonts w:hint="eastAsia" w:ascii="宋体" w:hAnsi="宋体"/>
          <w:color w:val="auto"/>
          <w:sz w:val="24"/>
        </w:rPr>
      </w:pPr>
      <w:r>
        <w:rPr>
          <w:rFonts w:ascii="宋体" w:hAnsi="宋体"/>
          <w:color w:val="auto"/>
          <w:sz w:val="24"/>
        </w:rPr>
        <w:t>本</w:t>
      </w:r>
      <w:r>
        <w:rPr>
          <w:rFonts w:hint="eastAsia" w:ascii="宋体" w:hAnsi="宋体"/>
          <w:color w:val="auto"/>
          <w:sz w:val="24"/>
        </w:rPr>
        <w:t>规程</w:t>
      </w:r>
      <w:r>
        <w:rPr>
          <w:rFonts w:ascii="宋体" w:hAnsi="宋体"/>
          <w:color w:val="auto"/>
          <w:sz w:val="24"/>
        </w:rPr>
        <w:t>审查专家</w:t>
      </w:r>
      <w:bookmarkEnd w:id="0"/>
      <w:bookmarkEnd w:id="1"/>
      <w:bookmarkEnd w:id="2"/>
      <w:bookmarkEnd w:id="3"/>
      <w:bookmarkEnd w:id="4"/>
      <w:r>
        <w:rPr>
          <w:rFonts w:hint="eastAsia" w:ascii="宋体" w:hAnsi="宋体"/>
          <w:color w:val="auto"/>
          <w:sz w:val="24"/>
        </w:rPr>
        <w:t>：</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rPr>
          <w:rFonts w:hint="eastAsia" w:ascii="宋体" w:hAnsi="宋体"/>
          <w:color w:val="auto"/>
          <w:sz w:val="24"/>
        </w:rPr>
      </w:pPr>
    </w:p>
    <w:sdt>
      <w:sdtPr>
        <w:rPr>
          <w:rFonts w:ascii="宋体" w:hAnsi="宋体" w:eastAsia="宋体" w:cs="Times New Roman"/>
          <w:color w:val="auto"/>
          <w:kern w:val="2"/>
          <w:sz w:val="21"/>
          <w:szCs w:val="24"/>
          <w:lang w:val="en-US" w:eastAsia="zh-CN" w:bidi="ar-SA"/>
        </w:rPr>
        <w:id w:val="147471123"/>
        <w15:color w:val="DBDBDB"/>
        <w:docPartObj>
          <w:docPartGallery w:val="Table of Contents"/>
          <w:docPartUnique/>
        </w:docPartObj>
      </w:sdtPr>
      <w:sdtEndPr>
        <w:rPr>
          <w:rFonts w:hint="eastAsia" w:ascii="宋体" w:hAnsi="宋体" w:eastAsia="宋体" w:cs="Times New Roman"/>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b/>
              <w:bCs/>
              <w:color w:val="auto"/>
              <w:sz w:val="32"/>
              <w:szCs w:val="40"/>
              <w:lang w:val="en-US" w:eastAsia="zh-CN"/>
            </w:rPr>
            <w:t xml:space="preserve">  </w:t>
          </w:r>
          <w:r>
            <w:rPr>
              <w:rFonts w:ascii="宋体" w:hAnsi="宋体" w:eastAsia="宋体"/>
              <w:b/>
              <w:bCs/>
              <w:color w:val="auto"/>
              <w:sz w:val="32"/>
              <w:szCs w:val="40"/>
            </w:rPr>
            <w:t>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TOC \o "1-2" \h \u </w:instrText>
          </w:r>
          <w:r>
            <w:rPr>
              <w:rFonts w:hint="eastAsia" w:ascii="宋体" w:hAnsi="宋体"/>
              <w:color w:val="auto"/>
              <w:sz w:val="24"/>
              <w:szCs w:val="24"/>
            </w:rPr>
            <w:fldChar w:fldCharType="separate"/>
          </w:r>
          <w:r>
            <w:rPr>
              <w:rFonts w:hint="eastAsia" w:ascii="宋体" w:hAnsi="宋体"/>
              <w:color w:val="auto"/>
              <w:sz w:val="24"/>
              <w:szCs w:val="24"/>
            </w:rPr>
            <w:fldChar w:fldCharType="begin"/>
          </w:r>
          <w:r>
            <w:rPr>
              <w:rFonts w:hint="eastAsia" w:ascii="宋体" w:hAnsi="宋体"/>
              <w:color w:val="auto"/>
              <w:sz w:val="24"/>
              <w:szCs w:val="24"/>
            </w:rPr>
            <w:instrText xml:space="preserve"> HYPERLINK \l _Toc9197 </w:instrText>
          </w:r>
          <w:r>
            <w:rPr>
              <w:rFonts w:hint="eastAsia" w:ascii="宋体" w:hAnsi="宋体"/>
              <w:color w:val="auto"/>
              <w:sz w:val="24"/>
              <w:szCs w:val="24"/>
            </w:rPr>
            <w:fldChar w:fldCharType="separate"/>
          </w:r>
          <w:r>
            <w:rPr>
              <w:color w:val="auto"/>
              <w:sz w:val="24"/>
              <w:szCs w:val="24"/>
            </w:rPr>
            <w:t xml:space="preserve">1 总 </w:t>
          </w:r>
          <w:r>
            <w:rPr>
              <w:rFonts w:hint="eastAsia"/>
              <w:color w:val="auto"/>
              <w:sz w:val="24"/>
              <w:szCs w:val="24"/>
            </w:rPr>
            <w:t xml:space="preserve"> </w:t>
          </w:r>
          <w:r>
            <w:rPr>
              <w:color w:val="auto"/>
              <w:sz w:val="24"/>
              <w:szCs w:val="24"/>
            </w:rPr>
            <w:t>则</w:t>
          </w:r>
          <w:r>
            <w:rPr>
              <w:color w:val="auto"/>
              <w:sz w:val="24"/>
              <w:szCs w:val="24"/>
            </w:rPr>
            <w:tab/>
          </w:r>
          <w:r>
            <w:rPr>
              <w:color w:val="auto"/>
              <w:sz w:val="24"/>
              <w:szCs w:val="24"/>
            </w:rPr>
            <w:fldChar w:fldCharType="begin"/>
          </w:r>
          <w:r>
            <w:rPr>
              <w:color w:val="auto"/>
              <w:sz w:val="24"/>
              <w:szCs w:val="24"/>
            </w:rPr>
            <w:instrText xml:space="preserve"> PAGEREF _Toc9197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_Toc17255 </w:instrText>
          </w:r>
          <w:r>
            <w:rPr>
              <w:rFonts w:hint="eastAsia" w:ascii="宋体" w:hAnsi="宋体"/>
              <w:color w:val="auto"/>
              <w:sz w:val="24"/>
              <w:szCs w:val="24"/>
            </w:rPr>
            <w:fldChar w:fldCharType="separate"/>
          </w:r>
          <w:r>
            <w:rPr>
              <w:color w:val="auto"/>
              <w:sz w:val="24"/>
              <w:szCs w:val="24"/>
            </w:rPr>
            <w:t>2 术语</w:t>
          </w:r>
          <w:r>
            <w:rPr>
              <w:rFonts w:hint="eastAsia"/>
              <w:color w:val="auto"/>
              <w:sz w:val="24"/>
              <w:szCs w:val="24"/>
            </w:rPr>
            <w:t>和符号</w:t>
          </w:r>
          <w:r>
            <w:rPr>
              <w:color w:val="auto"/>
              <w:sz w:val="24"/>
              <w:szCs w:val="24"/>
            </w:rPr>
            <w:tab/>
          </w:r>
          <w:r>
            <w:rPr>
              <w:color w:val="auto"/>
              <w:sz w:val="24"/>
              <w:szCs w:val="24"/>
            </w:rPr>
            <w:fldChar w:fldCharType="begin"/>
          </w:r>
          <w:r>
            <w:rPr>
              <w:color w:val="auto"/>
              <w:sz w:val="24"/>
              <w:szCs w:val="24"/>
            </w:rPr>
            <w:instrText xml:space="preserve"> PAGEREF _Toc17255 \h </w:instrText>
          </w:r>
          <w:r>
            <w:rPr>
              <w:color w:val="auto"/>
              <w:sz w:val="24"/>
              <w:szCs w:val="24"/>
            </w:rPr>
            <w:fldChar w:fldCharType="separate"/>
          </w:r>
          <w:r>
            <w:rPr>
              <w:color w:val="auto"/>
              <w:sz w:val="24"/>
              <w:szCs w:val="24"/>
            </w:rPr>
            <w:t>2</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_Toc22443 </w:instrText>
          </w:r>
          <w:r>
            <w:rPr>
              <w:rFonts w:hint="eastAsia" w:ascii="宋体" w:hAnsi="宋体"/>
              <w:color w:val="auto"/>
              <w:sz w:val="24"/>
              <w:szCs w:val="24"/>
            </w:rPr>
            <w:fldChar w:fldCharType="separate"/>
          </w:r>
          <w:r>
            <w:rPr>
              <w:color w:val="auto"/>
              <w:sz w:val="24"/>
              <w:szCs w:val="24"/>
            </w:rPr>
            <w:t>2</w:t>
          </w:r>
          <w:r>
            <w:rPr>
              <w:rFonts w:hint="eastAsia"/>
              <w:color w:val="auto"/>
              <w:sz w:val="24"/>
              <w:szCs w:val="24"/>
            </w:rPr>
            <w:t>.1</w:t>
          </w:r>
          <w:r>
            <w:rPr>
              <w:color w:val="auto"/>
              <w:sz w:val="24"/>
              <w:szCs w:val="24"/>
            </w:rPr>
            <w:t xml:space="preserve"> 术语</w:t>
          </w:r>
          <w:r>
            <w:rPr>
              <w:color w:val="auto"/>
              <w:sz w:val="24"/>
              <w:szCs w:val="24"/>
            </w:rPr>
            <w:tab/>
          </w:r>
          <w:r>
            <w:rPr>
              <w:color w:val="auto"/>
              <w:sz w:val="24"/>
              <w:szCs w:val="24"/>
            </w:rPr>
            <w:fldChar w:fldCharType="begin"/>
          </w:r>
          <w:r>
            <w:rPr>
              <w:color w:val="auto"/>
              <w:sz w:val="24"/>
              <w:szCs w:val="24"/>
            </w:rPr>
            <w:instrText xml:space="preserve"> PAGEREF _Toc22443 \h </w:instrText>
          </w:r>
          <w:r>
            <w:rPr>
              <w:color w:val="auto"/>
              <w:sz w:val="24"/>
              <w:szCs w:val="24"/>
            </w:rPr>
            <w:fldChar w:fldCharType="separate"/>
          </w:r>
          <w:r>
            <w:rPr>
              <w:color w:val="auto"/>
              <w:sz w:val="24"/>
              <w:szCs w:val="24"/>
            </w:rPr>
            <w:t>2</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_Toc27513 </w:instrText>
          </w:r>
          <w:r>
            <w:rPr>
              <w:rFonts w:hint="eastAsia" w:ascii="宋体" w:hAnsi="宋体"/>
              <w:color w:val="auto"/>
              <w:sz w:val="24"/>
              <w:szCs w:val="24"/>
            </w:rPr>
            <w:fldChar w:fldCharType="separate"/>
          </w:r>
          <w:r>
            <w:rPr>
              <w:color w:val="auto"/>
              <w:sz w:val="24"/>
              <w:szCs w:val="24"/>
            </w:rPr>
            <w:t>2</w:t>
          </w:r>
          <w:r>
            <w:rPr>
              <w:rFonts w:hint="eastAsia"/>
              <w:color w:val="auto"/>
              <w:sz w:val="24"/>
              <w:szCs w:val="24"/>
            </w:rPr>
            <w:t>.2</w:t>
          </w:r>
          <w:r>
            <w:rPr>
              <w:color w:val="auto"/>
              <w:sz w:val="24"/>
              <w:szCs w:val="24"/>
            </w:rPr>
            <w:t xml:space="preserve"> </w:t>
          </w:r>
          <w:r>
            <w:rPr>
              <w:rFonts w:hint="eastAsia"/>
              <w:color w:val="auto"/>
              <w:sz w:val="24"/>
              <w:szCs w:val="24"/>
            </w:rPr>
            <w:t>符号</w:t>
          </w:r>
          <w:r>
            <w:rPr>
              <w:color w:val="auto"/>
              <w:sz w:val="24"/>
              <w:szCs w:val="24"/>
            </w:rPr>
            <w:tab/>
          </w:r>
          <w:r>
            <w:rPr>
              <w:color w:val="auto"/>
              <w:sz w:val="24"/>
              <w:szCs w:val="24"/>
            </w:rPr>
            <w:fldChar w:fldCharType="begin"/>
          </w:r>
          <w:r>
            <w:rPr>
              <w:color w:val="auto"/>
              <w:sz w:val="24"/>
              <w:szCs w:val="24"/>
            </w:rPr>
            <w:instrText xml:space="preserve"> PAGEREF _Toc27513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_Toc21835 </w:instrText>
          </w:r>
          <w:r>
            <w:rPr>
              <w:rFonts w:hint="eastAsia" w:ascii="宋体" w:hAnsi="宋体"/>
              <w:color w:val="auto"/>
              <w:sz w:val="24"/>
              <w:szCs w:val="24"/>
            </w:rPr>
            <w:fldChar w:fldCharType="separate"/>
          </w:r>
          <w:r>
            <w:rPr>
              <w:color w:val="auto"/>
              <w:sz w:val="24"/>
              <w:szCs w:val="24"/>
            </w:rPr>
            <w:t>3 基本规定</w:t>
          </w:r>
          <w:r>
            <w:rPr>
              <w:color w:val="auto"/>
              <w:sz w:val="24"/>
              <w:szCs w:val="24"/>
            </w:rPr>
            <w:tab/>
          </w:r>
          <w:r>
            <w:rPr>
              <w:color w:val="auto"/>
              <w:sz w:val="24"/>
              <w:szCs w:val="24"/>
            </w:rPr>
            <w:fldChar w:fldCharType="begin"/>
          </w:r>
          <w:r>
            <w:rPr>
              <w:color w:val="auto"/>
              <w:sz w:val="24"/>
              <w:szCs w:val="24"/>
            </w:rPr>
            <w:instrText xml:space="preserve"> PAGEREF _Toc21835 \h </w:instrText>
          </w:r>
          <w:r>
            <w:rPr>
              <w:color w:val="auto"/>
              <w:sz w:val="24"/>
              <w:szCs w:val="24"/>
            </w:rPr>
            <w:fldChar w:fldCharType="separate"/>
          </w:r>
          <w:r>
            <w:rPr>
              <w:color w:val="auto"/>
              <w:sz w:val="24"/>
              <w:szCs w:val="24"/>
            </w:rPr>
            <w:t>5</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0" w:firstLineChars="0"/>
            <w:textAlignment w:val="auto"/>
            <w:rPr>
              <w:rFonts w:hint="default" w:ascii="Cambria Math" w:hAnsi="Cambria Math" w:eastAsia="宋体"/>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_Toc22467 </w:instrText>
          </w:r>
          <w:r>
            <w:rPr>
              <w:rFonts w:hint="eastAsia" w:ascii="宋体" w:hAnsi="宋体"/>
              <w:color w:val="auto"/>
              <w:sz w:val="24"/>
              <w:szCs w:val="24"/>
            </w:rPr>
            <w:fldChar w:fldCharType="separate"/>
          </w:r>
          <w:r>
            <w:rPr>
              <w:rFonts w:hint="eastAsia"/>
              <w:color w:val="auto"/>
              <w:sz w:val="24"/>
              <w:szCs w:val="24"/>
            </w:rPr>
            <w:t>4</w:t>
          </w:r>
          <w:r>
            <w:rPr>
              <w:color w:val="auto"/>
              <w:sz w:val="24"/>
              <w:szCs w:val="24"/>
            </w:rPr>
            <w:t xml:space="preserve"> </w:t>
          </w:r>
          <w:r>
            <w:rPr>
              <w:rFonts w:hint="eastAsia"/>
              <w:color w:val="auto"/>
              <w:sz w:val="24"/>
              <w:szCs w:val="24"/>
              <w:lang w:eastAsia="zh-CN"/>
            </w:rPr>
            <w:t>特细砂</w:t>
          </w:r>
          <w:r>
            <w:rPr>
              <w:rFonts w:hint="eastAsia" w:ascii="Cambria Math" w:hAnsi="Cambria Math"/>
              <w:color w:val="auto"/>
              <w:sz w:val="24"/>
              <w:szCs w:val="24"/>
              <w:lang w:val="en-US" w:eastAsia="zh-CN"/>
            </w:rPr>
            <w:t>.</w:t>
          </w:r>
          <w:r>
            <w:rPr>
              <w:color w:val="auto"/>
              <w:sz w:val="24"/>
              <w:szCs w:val="24"/>
            </w:rPr>
            <w:tab/>
          </w:r>
          <w:r>
            <w:rPr>
              <w:color w:val="auto"/>
              <w:sz w:val="24"/>
              <w:szCs w:val="24"/>
            </w:rPr>
            <w:fldChar w:fldCharType="begin"/>
          </w:r>
          <w:r>
            <w:rPr>
              <w:color w:val="auto"/>
              <w:sz w:val="24"/>
              <w:szCs w:val="24"/>
            </w:rPr>
            <w:instrText xml:space="preserve"> PAGEREF _Toc22467 \h </w:instrText>
          </w:r>
          <w:r>
            <w:rPr>
              <w:color w:val="auto"/>
              <w:sz w:val="24"/>
              <w:szCs w:val="24"/>
            </w:rPr>
            <w:fldChar w:fldCharType="separate"/>
          </w:r>
          <w:r>
            <w:rPr>
              <w:color w:val="auto"/>
              <w:sz w:val="24"/>
              <w:szCs w:val="24"/>
            </w:rPr>
            <w:t>6</w:t>
          </w:r>
          <w:r>
            <w:rPr>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color w:val="auto"/>
              <w:sz w:val="24"/>
              <w:szCs w:val="24"/>
            </w:rPr>
            <w:t xml:space="preserve">4.1 </w:t>
          </w:r>
          <w:r>
            <w:rPr>
              <w:rFonts w:hint="eastAsia"/>
              <w:color w:val="auto"/>
              <w:sz w:val="24"/>
              <w:szCs w:val="24"/>
            </w:rPr>
            <w:t>质量要求</w:t>
          </w:r>
          <w:r>
            <w:rPr>
              <w:color w:val="auto"/>
              <w:sz w:val="24"/>
              <w:szCs w:val="24"/>
            </w:rPr>
            <w:tab/>
          </w:r>
          <w:r>
            <w:rPr>
              <w:color w:val="auto"/>
              <w:sz w:val="24"/>
              <w:szCs w:val="24"/>
            </w:rPr>
            <w:fldChar w:fldCharType="begin"/>
          </w:r>
          <w:r>
            <w:rPr>
              <w:color w:val="auto"/>
              <w:sz w:val="24"/>
              <w:szCs w:val="24"/>
            </w:rPr>
            <w:instrText xml:space="preserve"> PAGEREF _Toc22467 \h </w:instrText>
          </w:r>
          <w:r>
            <w:rPr>
              <w:color w:val="auto"/>
              <w:sz w:val="24"/>
              <w:szCs w:val="24"/>
            </w:rPr>
            <w:fldChar w:fldCharType="separate"/>
          </w:r>
          <w:r>
            <w:rPr>
              <w:color w:val="auto"/>
              <w:sz w:val="24"/>
              <w:szCs w:val="24"/>
            </w:rPr>
            <w:t>6</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_Toc29714 </w:instrText>
          </w:r>
          <w:r>
            <w:rPr>
              <w:rFonts w:hint="eastAsia" w:ascii="宋体" w:hAnsi="宋体"/>
              <w:color w:val="auto"/>
              <w:sz w:val="24"/>
              <w:szCs w:val="24"/>
            </w:rPr>
            <w:fldChar w:fldCharType="separate"/>
          </w:r>
          <w:r>
            <w:rPr>
              <w:color w:val="auto"/>
              <w:sz w:val="24"/>
              <w:szCs w:val="24"/>
            </w:rPr>
            <w:t xml:space="preserve">4.2 </w:t>
          </w:r>
          <w:r>
            <w:rPr>
              <w:rFonts w:hint="eastAsia"/>
              <w:color w:val="auto"/>
              <w:sz w:val="24"/>
              <w:szCs w:val="24"/>
            </w:rPr>
            <w:t>试验方法</w:t>
          </w:r>
          <w:r>
            <w:rPr>
              <w:color w:val="auto"/>
              <w:sz w:val="24"/>
              <w:szCs w:val="24"/>
            </w:rPr>
            <w:tab/>
          </w:r>
          <w:r>
            <w:rPr>
              <w:color w:val="auto"/>
              <w:sz w:val="24"/>
              <w:szCs w:val="24"/>
            </w:rPr>
            <w:fldChar w:fldCharType="begin"/>
          </w:r>
          <w:r>
            <w:rPr>
              <w:color w:val="auto"/>
              <w:sz w:val="24"/>
              <w:szCs w:val="24"/>
            </w:rPr>
            <w:instrText xml:space="preserve"> PAGEREF _Toc29714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_Toc4404 </w:instrText>
          </w:r>
          <w:r>
            <w:rPr>
              <w:rFonts w:hint="eastAsia" w:ascii="宋体" w:hAnsi="宋体"/>
              <w:color w:val="auto"/>
              <w:sz w:val="24"/>
              <w:szCs w:val="24"/>
            </w:rPr>
            <w:fldChar w:fldCharType="separate"/>
          </w:r>
          <w:r>
            <w:rPr>
              <w:color w:val="auto"/>
              <w:sz w:val="24"/>
              <w:szCs w:val="24"/>
            </w:rPr>
            <w:t xml:space="preserve">4.3 </w:t>
          </w:r>
          <w:r>
            <w:rPr>
              <w:rFonts w:hint="eastAsia"/>
              <w:color w:val="auto"/>
              <w:sz w:val="24"/>
              <w:szCs w:val="24"/>
            </w:rPr>
            <w:t>验收规则</w:t>
          </w:r>
          <w:r>
            <w:rPr>
              <w:color w:val="auto"/>
              <w:sz w:val="24"/>
              <w:szCs w:val="24"/>
            </w:rPr>
            <w:tab/>
          </w:r>
          <w:r>
            <w:rPr>
              <w:color w:val="auto"/>
              <w:sz w:val="24"/>
              <w:szCs w:val="24"/>
            </w:rPr>
            <w:fldChar w:fldCharType="begin"/>
          </w:r>
          <w:r>
            <w:rPr>
              <w:color w:val="auto"/>
              <w:sz w:val="24"/>
              <w:szCs w:val="24"/>
            </w:rPr>
            <w:instrText xml:space="preserve"> PAGEREF _Toc4404 \h </w:instrText>
          </w:r>
          <w:r>
            <w:rPr>
              <w:color w:val="auto"/>
              <w:sz w:val="24"/>
              <w:szCs w:val="24"/>
            </w:rPr>
            <w:fldChar w:fldCharType="separate"/>
          </w:r>
          <w:r>
            <w:rPr>
              <w:color w:val="auto"/>
              <w:sz w:val="24"/>
              <w:szCs w:val="24"/>
            </w:rPr>
            <w:t>8</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_Toc3088 </w:instrText>
          </w:r>
          <w:r>
            <w:rPr>
              <w:rFonts w:hint="eastAsia" w:ascii="宋体" w:hAnsi="宋体"/>
              <w:color w:val="auto"/>
              <w:sz w:val="24"/>
              <w:szCs w:val="24"/>
            </w:rPr>
            <w:fldChar w:fldCharType="separate"/>
          </w:r>
          <w:r>
            <w:rPr>
              <w:color w:val="auto"/>
              <w:sz w:val="24"/>
              <w:szCs w:val="24"/>
            </w:rPr>
            <w:t xml:space="preserve">5 </w:t>
          </w:r>
          <w:r>
            <w:rPr>
              <w:rFonts w:hint="eastAsia"/>
              <w:color w:val="auto"/>
              <w:sz w:val="24"/>
              <w:szCs w:val="24"/>
            </w:rPr>
            <w:t>混凝土性能</w:t>
          </w:r>
          <w:r>
            <w:rPr>
              <w:color w:val="auto"/>
              <w:sz w:val="24"/>
              <w:szCs w:val="24"/>
            </w:rPr>
            <w:tab/>
          </w:r>
          <w:r>
            <w:rPr>
              <w:color w:val="auto"/>
              <w:sz w:val="24"/>
              <w:szCs w:val="24"/>
            </w:rPr>
            <w:fldChar w:fldCharType="begin"/>
          </w:r>
          <w:r>
            <w:rPr>
              <w:color w:val="auto"/>
              <w:sz w:val="24"/>
              <w:szCs w:val="24"/>
            </w:rPr>
            <w:instrText xml:space="preserve"> PAGEREF _Toc3088 \h </w:instrText>
          </w:r>
          <w:r>
            <w:rPr>
              <w:color w:val="auto"/>
              <w:sz w:val="24"/>
              <w:szCs w:val="24"/>
            </w:rPr>
            <w:fldChar w:fldCharType="separate"/>
          </w:r>
          <w:r>
            <w:rPr>
              <w:color w:val="auto"/>
              <w:sz w:val="24"/>
              <w:szCs w:val="24"/>
            </w:rPr>
            <w:t>9</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_Toc27494 </w:instrText>
          </w:r>
          <w:r>
            <w:rPr>
              <w:rFonts w:hint="eastAsia" w:ascii="宋体" w:hAnsi="宋体"/>
              <w:color w:val="auto"/>
              <w:sz w:val="24"/>
              <w:szCs w:val="24"/>
            </w:rPr>
            <w:fldChar w:fldCharType="separate"/>
          </w:r>
          <w:r>
            <w:rPr>
              <w:color w:val="auto"/>
              <w:sz w:val="24"/>
              <w:szCs w:val="24"/>
            </w:rPr>
            <w:t xml:space="preserve">5.1 </w:t>
          </w:r>
          <w:r>
            <w:rPr>
              <w:rFonts w:hint="eastAsia"/>
              <w:color w:val="auto"/>
              <w:sz w:val="24"/>
              <w:szCs w:val="24"/>
            </w:rPr>
            <w:t>拌合物性能</w:t>
          </w:r>
          <w:r>
            <w:rPr>
              <w:color w:val="auto"/>
              <w:sz w:val="24"/>
              <w:szCs w:val="24"/>
            </w:rPr>
            <w:tab/>
          </w:r>
          <w:r>
            <w:rPr>
              <w:color w:val="auto"/>
              <w:sz w:val="24"/>
              <w:szCs w:val="24"/>
            </w:rPr>
            <w:fldChar w:fldCharType="begin"/>
          </w:r>
          <w:r>
            <w:rPr>
              <w:color w:val="auto"/>
              <w:sz w:val="24"/>
              <w:szCs w:val="24"/>
            </w:rPr>
            <w:instrText xml:space="preserve"> PAGEREF _Toc27494 \h </w:instrText>
          </w:r>
          <w:r>
            <w:rPr>
              <w:color w:val="auto"/>
              <w:sz w:val="24"/>
              <w:szCs w:val="24"/>
            </w:rPr>
            <w:fldChar w:fldCharType="separate"/>
          </w:r>
          <w:r>
            <w:rPr>
              <w:color w:val="auto"/>
              <w:sz w:val="24"/>
              <w:szCs w:val="24"/>
            </w:rPr>
            <w:t>9</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_Toc18837 </w:instrText>
          </w:r>
          <w:r>
            <w:rPr>
              <w:rFonts w:hint="eastAsia" w:ascii="宋体" w:hAnsi="宋体"/>
              <w:color w:val="auto"/>
              <w:sz w:val="24"/>
              <w:szCs w:val="24"/>
            </w:rPr>
            <w:fldChar w:fldCharType="separate"/>
          </w:r>
          <w:r>
            <w:rPr>
              <w:color w:val="auto"/>
              <w:sz w:val="24"/>
              <w:szCs w:val="24"/>
            </w:rPr>
            <w:t xml:space="preserve">5.2 </w:t>
          </w:r>
          <w:r>
            <w:rPr>
              <w:rFonts w:hint="eastAsia"/>
              <w:color w:val="auto"/>
              <w:sz w:val="24"/>
              <w:szCs w:val="24"/>
            </w:rPr>
            <w:t>力学性能</w:t>
          </w:r>
          <w:r>
            <w:rPr>
              <w:color w:val="auto"/>
              <w:sz w:val="24"/>
              <w:szCs w:val="24"/>
            </w:rPr>
            <w:tab/>
          </w:r>
          <w:r>
            <w:rPr>
              <w:color w:val="auto"/>
              <w:sz w:val="24"/>
              <w:szCs w:val="24"/>
            </w:rPr>
            <w:fldChar w:fldCharType="begin"/>
          </w:r>
          <w:r>
            <w:rPr>
              <w:color w:val="auto"/>
              <w:sz w:val="24"/>
              <w:szCs w:val="24"/>
            </w:rPr>
            <w:instrText xml:space="preserve"> PAGEREF _Toc18837 \h </w:instrText>
          </w:r>
          <w:r>
            <w:rPr>
              <w:color w:val="auto"/>
              <w:sz w:val="24"/>
              <w:szCs w:val="24"/>
            </w:rPr>
            <w:fldChar w:fldCharType="separate"/>
          </w:r>
          <w:r>
            <w:rPr>
              <w:color w:val="auto"/>
              <w:sz w:val="24"/>
              <w:szCs w:val="24"/>
            </w:rPr>
            <w:t>9</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_Toc13987 </w:instrText>
          </w:r>
          <w:r>
            <w:rPr>
              <w:rFonts w:hint="eastAsia" w:ascii="宋体" w:hAnsi="宋体"/>
              <w:color w:val="auto"/>
              <w:sz w:val="24"/>
              <w:szCs w:val="24"/>
            </w:rPr>
            <w:fldChar w:fldCharType="separate"/>
          </w:r>
          <w:r>
            <w:rPr>
              <w:color w:val="auto"/>
              <w:sz w:val="24"/>
              <w:szCs w:val="24"/>
            </w:rPr>
            <w:t xml:space="preserve">5.3 </w:t>
          </w:r>
          <w:r>
            <w:rPr>
              <w:rFonts w:hint="eastAsia"/>
              <w:color w:val="auto"/>
              <w:sz w:val="24"/>
              <w:szCs w:val="24"/>
            </w:rPr>
            <w:t>长</w:t>
          </w:r>
          <w:r>
            <w:rPr>
              <w:rFonts w:hint="eastAsia"/>
              <w:color w:val="auto"/>
              <w:sz w:val="24"/>
              <w:szCs w:val="24"/>
              <w:lang w:eastAsia="zh-CN"/>
            </w:rPr>
            <w:t>期</w:t>
          </w:r>
          <w:r>
            <w:rPr>
              <w:rFonts w:hint="eastAsia"/>
              <w:color w:val="auto"/>
              <w:sz w:val="24"/>
              <w:szCs w:val="24"/>
            </w:rPr>
            <w:t>性能和耐久性能</w:t>
          </w:r>
          <w:r>
            <w:rPr>
              <w:color w:val="auto"/>
              <w:sz w:val="24"/>
              <w:szCs w:val="24"/>
            </w:rPr>
            <w:tab/>
          </w:r>
          <w:r>
            <w:rPr>
              <w:color w:val="auto"/>
              <w:sz w:val="24"/>
              <w:szCs w:val="24"/>
            </w:rPr>
            <w:fldChar w:fldCharType="begin"/>
          </w:r>
          <w:r>
            <w:rPr>
              <w:color w:val="auto"/>
              <w:sz w:val="24"/>
              <w:szCs w:val="24"/>
            </w:rPr>
            <w:instrText xml:space="preserve"> PAGEREF _Toc13987 \h </w:instrText>
          </w:r>
          <w:r>
            <w:rPr>
              <w:color w:val="auto"/>
              <w:sz w:val="24"/>
              <w:szCs w:val="24"/>
            </w:rPr>
            <w:fldChar w:fldCharType="separate"/>
          </w:r>
          <w:r>
            <w:rPr>
              <w:color w:val="auto"/>
              <w:sz w:val="24"/>
              <w:szCs w:val="24"/>
            </w:rPr>
            <w:t>9</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_Toc9239 </w:instrText>
          </w:r>
          <w:r>
            <w:rPr>
              <w:rFonts w:hint="eastAsia" w:ascii="宋体" w:hAnsi="宋体"/>
              <w:color w:val="auto"/>
              <w:sz w:val="24"/>
              <w:szCs w:val="24"/>
            </w:rPr>
            <w:fldChar w:fldCharType="separate"/>
          </w:r>
          <w:r>
            <w:rPr>
              <w:rFonts w:hint="eastAsia"/>
              <w:color w:val="auto"/>
              <w:sz w:val="24"/>
              <w:szCs w:val="24"/>
            </w:rPr>
            <w:t>6</w:t>
          </w:r>
          <w:r>
            <w:rPr>
              <w:color w:val="auto"/>
              <w:sz w:val="24"/>
              <w:szCs w:val="24"/>
            </w:rPr>
            <w:t xml:space="preserve"> </w:t>
          </w:r>
          <w:r>
            <w:rPr>
              <w:rFonts w:hint="eastAsia"/>
              <w:color w:val="auto"/>
              <w:sz w:val="24"/>
              <w:szCs w:val="24"/>
            </w:rPr>
            <w:t>配合比</w:t>
          </w:r>
          <w:r>
            <w:rPr>
              <w:color w:val="auto"/>
              <w:sz w:val="24"/>
              <w:szCs w:val="24"/>
            </w:rPr>
            <w:tab/>
          </w:r>
          <w:r>
            <w:rPr>
              <w:color w:val="auto"/>
              <w:sz w:val="24"/>
              <w:szCs w:val="24"/>
            </w:rPr>
            <w:fldChar w:fldCharType="begin"/>
          </w:r>
          <w:r>
            <w:rPr>
              <w:color w:val="auto"/>
              <w:sz w:val="24"/>
              <w:szCs w:val="24"/>
            </w:rPr>
            <w:instrText xml:space="preserve"> PAGEREF _Toc9239 \h </w:instrText>
          </w:r>
          <w:r>
            <w:rPr>
              <w:color w:val="auto"/>
              <w:sz w:val="24"/>
              <w:szCs w:val="24"/>
            </w:rPr>
            <w:fldChar w:fldCharType="separate"/>
          </w:r>
          <w:r>
            <w:rPr>
              <w:color w:val="auto"/>
              <w:sz w:val="24"/>
              <w:szCs w:val="24"/>
            </w:rPr>
            <w:t>10</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pos="3200"/>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_Toc7064 </w:instrText>
          </w:r>
          <w:r>
            <w:rPr>
              <w:rFonts w:hint="eastAsia" w:ascii="宋体" w:hAnsi="宋体"/>
              <w:color w:val="auto"/>
              <w:sz w:val="24"/>
              <w:szCs w:val="24"/>
            </w:rPr>
            <w:fldChar w:fldCharType="separate"/>
          </w:r>
          <w:r>
            <w:rPr>
              <w:color w:val="auto"/>
              <w:sz w:val="24"/>
              <w:szCs w:val="24"/>
            </w:rPr>
            <w:t>6.1</w:t>
          </w:r>
          <w:r>
            <w:rPr>
              <w:rFonts w:hint="eastAsia"/>
              <w:color w:val="auto"/>
              <w:sz w:val="24"/>
              <w:szCs w:val="24"/>
              <w:lang w:val="en-US" w:eastAsia="zh-CN"/>
            </w:rPr>
            <w:t xml:space="preserve"> </w:t>
          </w:r>
          <w:r>
            <w:rPr>
              <w:color w:val="auto"/>
              <w:sz w:val="24"/>
              <w:szCs w:val="24"/>
            </w:rPr>
            <w:t>一般规定</w:t>
          </w:r>
          <w:r>
            <w:rPr>
              <w:rFonts w:hint="eastAsia"/>
              <w:color w:val="auto"/>
              <w:sz w:val="24"/>
              <w:szCs w:val="24"/>
              <w:lang w:val="en-US" w:eastAsia="zh-CN"/>
            </w:rPr>
            <w:t>...........................................................................................................</w:t>
          </w:r>
          <w:r>
            <w:rPr>
              <w:color w:val="auto"/>
              <w:sz w:val="24"/>
              <w:szCs w:val="24"/>
            </w:rPr>
            <w:fldChar w:fldCharType="begin"/>
          </w:r>
          <w:r>
            <w:rPr>
              <w:color w:val="auto"/>
              <w:sz w:val="24"/>
              <w:szCs w:val="24"/>
            </w:rPr>
            <w:instrText xml:space="preserve"> PAGEREF _Toc7064 \h </w:instrText>
          </w:r>
          <w:r>
            <w:rPr>
              <w:color w:val="auto"/>
              <w:sz w:val="24"/>
              <w:szCs w:val="24"/>
            </w:rPr>
            <w:fldChar w:fldCharType="separate"/>
          </w:r>
          <w:r>
            <w:rPr>
              <w:color w:val="auto"/>
              <w:sz w:val="24"/>
              <w:szCs w:val="24"/>
            </w:rPr>
            <w:t>10</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_Toc7278 </w:instrText>
          </w:r>
          <w:r>
            <w:rPr>
              <w:rFonts w:hint="eastAsia" w:ascii="宋体" w:hAnsi="宋体"/>
              <w:color w:val="auto"/>
              <w:sz w:val="24"/>
              <w:szCs w:val="24"/>
            </w:rPr>
            <w:fldChar w:fldCharType="separate"/>
          </w:r>
          <w:r>
            <w:rPr>
              <w:rFonts w:hint="eastAsia"/>
              <w:bCs/>
              <w:color w:val="auto"/>
              <w:sz w:val="24"/>
              <w:szCs w:val="24"/>
            </w:rPr>
            <w:t>6.2 塑性特细砂混凝土</w:t>
          </w:r>
          <w:r>
            <w:rPr>
              <w:color w:val="auto"/>
              <w:sz w:val="24"/>
              <w:szCs w:val="24"/>
            </w:rPr>
            <w:tab/>
          </w:r>
          <w:r>
            <w:rPr>
              <w:color w:val="auto"/>
              <w:sz w:val="24"/>
              <w:szCs w:val="24"/>
            </w:rPr>
            <w:fldChar w:fldCharType="begin"/>
          </w:r>
          <w:r>
            <w:rPr>
              <w:color w:val="auto"/>
              <w:sz w:val="24"/>
              <w:szCs w:val="24"/>
            </w:rPr>
            <w:instrText xml:space="preserve"> PAGEREF _Toc7278 \h </w:instrText>
          </w:r>
          <w:r>
            <w:rPr>
              <w:color w:val="auto"/>
              <w:sz w:val="24"/>
              <w:szCs w:val="24"/>
            </w:rPr>
            <w:fldChar w:fldCharType="separate"/>
          </w:r>
          <w:r>
            <w:rPr>
              <w:color w:val="auto"/>
              <w:sz w:val="24"/>
              <w:szCs w:val="24"/>
            </w:rPr>
            <w:t>10</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_Toc12049 </w:instrText>
          </w:r>
          <w:r>
            <w:rPr>
              <w:rFonts w:hint="eastAsia" w:ascii="宋体" w:hAnsi="宋体"/>
              <w:color w:val="auto"/>
              <w:sz w:val="24"/>
              <w:szCs w:val="24"/>
            </w:rPr>
            <w:fldChar w:fldCharType="separate"/>
          </w:r>
          <w:r>
            <w:rPr>
              <w:bCs/>
              <w:color w:val="auto"/>
              <w:sz w:val="24"/>
              <w:szCs w:val="24"/>
            </w:rPr>
            <w:t>6.3</w:t>
          </w:r>
          <w:r>
            <w:rPr>
              <w:rFonts w:hint="eastAsia"/>
              <w:bCs/>
              <w:color w:val="auto"/>
              <w:sz w:val="24"/>
              <w:szCs w:val="24"/>
            </w:rPr>
            <w:t xml:space="preserve"> </w:t>
          </w:r>
          <w:r>
            <w:rPr>
              <w:bCs/>
              <w:color w:val="auto"/>
              <w:sz w:val="24"/>
              <w:szCs w:val="24"/>
            </w:rPr>
            <w:t>流动性和大流动性特细砂混凝土</w:t>
          </w:r>
          <w:r>
            <w:rPr>
              <w:color w:val="auto"/>
              <w:sz w:val="24"/>
              <w:szCs w:val="24"/>
            </w:rPr>
            <w:tab/>
          </w:r>
          <w:r>
            <w:rPr>
              <w:color w:val="auto"/>
              <w:sz w:val="24"/>
              <w:szCs w:val="24"/>
            </w:rPr>
            <w:fldChar w:fldCharType="begin"/>
          </w:r>
          <w:r>
            <w:rPr>
              <w:color w:val="auto"/>
              <w:sz w:val="24"/>
              <w:szCs w:val="24"/>
            </w:rPr>
            <w:instrText xml:space="preserve"> PAGEREF _Toc12049 \h </w:instrText>
          </w:r>
          <w:r>
            <w:rPr>
              <w:color w:val="auto"/>
              <w:sz w:val="24"/>
              <w:szCs w:val="24"/>
            </w:rPr>
            <w:fldChar w:fldCharType="separate"/>
          </w:r>
          <w:r>
            <w:rPr>
              <w:color w:val="auto"/>
              <w:sz w:val="24"/>
              <w:szCs w:val="24"/>
            </w:rPr>
            <w:t>16</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_Toc5673 </w:instrText>
          </w:r>
          <w:r>
            <w:rPr>
              <w:rFonts w:hint="eastAsia" w:ascii="宋体" w:hAnsi="宋体"/>
              <w:color w:val="auto"/>
              <w:sz w:val="24"/>
              <w:szCs w:val="24"/>
            </w:rPr>
            <w:fldChar w:fldCharType="separate"/>
          </w:r>
          <w:r>
            <w:rPr>
              <w:color w:val="auto"/>
              <w:sz w:val="24"/>
              <w:szCs w:val="24"/>
            </w:rPr>
            <w:t xml:space="preserve">7 </w:t>
          </w:r>
          <w:r>
            <w:rPr>
              <w:rFonts w:hint="eastAsia"/>
              <w:color w:val="auto"/>
              <w:sz w:val="24"/>
              <w:szCs w:val="24"/>
            </w:rPr>
            <w:t>生产与施工</w:t>
          </w:r>
          <w:r>
            <w:rPr>
              <w:color w:val="auto"/>
              <w:sz w:val="24"/>
              <w:szCs w:val="24"/>
            </w:rPr>
            <w:tab/>
          </w:r>
          <w:r>
            <w:rPr>
              <w:color w:val="auto"/>
              <w:sz w:val="24"/>
              <w:szCs w:val="24"/>
            </w:rPr>
            <w:fldChar w:fldCharType="begin"/>
          </w:r>
          <w:r>
            <w:rPr>
              <w:color w:val="auto"/>
              <w:sz w:val="24"/>
              <w:szCs w:val="24"/>
            </w:rPr>
            <w:instrText xml:space="preserve"> PAGEREF _Toc5673 \h </w:instrText>
          </w:r>
          <w:r>
            <w:rPr>
              <w:color w:val="auto"/>
              <w:sz w:val="24"/>
              <w:szCs w:val="24"/>
            </w:rPr>
            <w:fldChar w:fldCharType="separate"/>
          </w:r>
          <w:r>
            <w:rPr>
              <w:color w:val="auto"/>
              <w:sz w:val="24"/>
              <w:szCs w:val="24"/>
            </w:rPr>
            <w:t>17</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_Toc10380 </w:instrText>
          </w:r>
          <w:r>
            <w:rPr>
              <w:rFonts w:hint="eastAsia" w:ascii="宋体" w:hAnsi="宋体"/>
              <w:color w:val="auto"/>
              <w:sz w:val="24"/>
              <w:szCs w:val="24"/>
            </w:rPr>
            <w:fldChar w:fldCharType="separate"/>
          </w:r>
          <w:r>
            <w:rPr>
              <w:color w:val="auto"/>
              <w:sz w:val="24"/>
              <w:szCs w:val="24"/>
            </w:rPr>
            <w:t xml:space="preserve">7.1 </w:t>
          </w:r>
          <w:r>
            <w:rPr>
              <w:rFonts w:hint="eastAsia"/>
              <w:color w:val="auto"/>
              <w:sz w:val="24"/>
              <w:szCs w:val="24"/>
            </w:rPr>
            <w:t>一般规定</w:t>
          </w:r>
          <w:r>
            <w:rPr>
              <w:color w:val="auto"/>
              <w:sz w:val="24"/>
              <w:szCs w:val="24"/>
            </w:rPr>
            <w:tab/>
          </w:r>
          <w:r>
            <w:rPr>
              <w:color w:val="auto"/>
              <w:sz w:val="24"/>
              <w:szCs w:val="24"/>
            </w:rPr>
            <w:fldChar w:fldCharType="begin"/>
          </w:r>
          <w:r>
            <w:rPr>
              <w:color w:val="auto"/>
              <w:sz w:val="24"/>
              <w:szCs w:val="24"/>
            </w:rPr>
            <w:instrText xml:space="preserve"> PAGEREF _Toc10380 \h </w:instrText>
          </w:r>
          <w:r>
            <w:rPr>
              <w:color w:val="auto"/>
              <w:sz w:val="24"/>
              <w:szCs w:val="24"/>
            </w:rPr>
            <w:fldChar w:fldCharType="separate"/>
          </w:r>
          <w:r>
            <w:rPr>
              <w:color w:val="auto"/>
              <w:sz w:val="24"/>
              <w:szCs w:val="24"/>
            </w:rPr>
            <w:t>17</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_Toc27727 </w:instrText>
          </w:r>
          <w:r>
            <w:rPr>
              <w:rFonts w:hint="eastAsia" w:ascii="宋体" w:hAnsi="宋体"/>
              <w:color w:val="auto"/>
              <w:sz w:val="24"/>
              <w:szCs w:val="24"/>
            </w:rPr>
            <w:fldChar w:fldCharType="separate"/>
          </w:r>
          <w:r>
            <w:rPr>
              <w:color w:val="auto"/>
              <w:sz w:val="24"/>
              <w:szCs w:val="24"/>
            </w:rPr>
            <w:t>7.</w:t>
          </w:r>
          <w:r>
            <w:rPr>
              <w:rFonts w:hint="eastAsia"/>
              <w:color w:val="auto"/>
              <w:sz w:val="24"/>
              <w:szCs w:val="24"/>
            </w:rPr>
            <w:t>2</w:t>
          </w:r>
          <w:r>
            <w:rPr>
              <w:color w:val="auto"/>
              <w:sz w:val="24"/>
              <w:szCs w:val="24"/>
            </w:rPr>
            <w:t xml:space="preserve"> </w:t>
          </w:r>
          <w:r>
            <w:rPr>
              <w:rFonts w:hint="eastAsia"/>
              <w:color w:val="auto"/>
              <w:sz w:val="24"/>
              <w:szCs w:val="24"/>
            </w:rPr>
            <w:t>混凝土生产</w:t>
          </w:r>
          <w:r>
            <w:rPr>
              <w:color w:val="auto"/>
              <w:sz w:val="24"/>
              <w:szCs w:val="24"/>
            </w:rPr>
            <w:tab/>
          </w:r>
          <w:r>
            <w:rPr>
              <w:color w:val="auto"/>
              <w:sz w:val="24"/>
              <w:szCs w:val="24"/>
            </w:rPr>
            <w:fldChar w:fldCharType="begin"/>
          </w:r>
          <w:r>
            <w:rPr>
              <w:color w:val="auto"/>
              <w:sz w:val="24"/>
              <w:szCs w:val="24"/>
            </w:rPr>
            <w:instrText xml:space="preserve"> PAGEREF _Toc27727 \h </w:instrText>
          </w:r>
          <w:r>
            <w:rPr>
              <w:color w:val="auto"/>
              <w:sz w:val="24"/>
              <w:szCs w:val="24"/>
            </w:rPr>
            <w:fldChar w:fldCharType="separate"/>
          </w:r>
          <w:r>
            <w:rPr>
              <w:color w:val="auto"/>
              <w:sz w:val="24"/>
              <w:szCs w:val="24"/>
            </w:rPr>
            <w:t>17</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_Toc31344 </w:instrText>
          </w:r>
          <w:r>
            <w:rPr>
              <w:rFonts w:hint="eastAsia" w:ascii="宋体" w:hAnsi="宋体"/>
              <w:color w:val="auto"/>
              <w:sz w:val="24"/>
              <w:szCs w:val="24"/>
            </w:rPr>
            <w:fldChar w:fldCharType="separate"/>
          </w:r>
          <w:r>
            <w:rPr>
              <w:color w:val="auto"/>
              <w:sz w:val="24"/>
              <w:szCs w:val="24"/>
            </w:rPr>
            <w:t>7.</w:t>
          </w:r>
          <w:r>
            <w:rPr>
              <w:rFonts w:hint="eastAsia"/>
              <w:color w:val="auto"/>
              <w:sz w:val="24"/>
              <w:szCs w:val="24"/>
            </w:rPr>
            <w:t>3</w:t>
          </w:r>
          <w:r>
            <w:rPr>
              <w:color w:val="auto"/>
              <w:sz w:val="24"/>
              <w:szCs w:val="24"/>
            </w:rPr>
            <w:t xml:space="preserve"> </w:t>
          </w:r>
          <w:r>
            <w:rPr>
              <w:rFonts w:hint="eastAsia"/>
              <w:color w:val="auto"/>
              <w:sz w:val="24"/>
              <w:szCs w:val="24"/>
            </w:rPr>
            <w:t>混凝土施工</w:t>
          </w:r>
          <w:r>
            <w:rPr>
              <w:color w:val="auto"/>
              <w:sz w:val="24"/>
              <w:szCs w:val="24"/>
            </w:rPr>
            <w:tab/>
          </w:r>
          <w:r>
            <w:rPr>
              <w:color w:val="auto"/>
              <w:sz w:val="24"/>
              <w:szCs w:val="24"/>
            </w:rPr>
            <w:fldChar w:fldCharType="begin"/>
          </w:r>
          <w:r>
            <w:rPr>
              <w:color w:val="auto"/>
              <w:sz w:val="24"/>
              <w:szCs w:val="24"/>
            </w:rPr>
            <w:instrText xml:space="preserve"> PAGEREF _Toc31344 \h </w:instrText>
          </w:r>
          <w:r>
            <w:rPr>
              <w:color w:val="auto"/>
              <w:sz w:val="24"/>
              <w:szCs w:val="24"/>
            </w:rPr>
            <w:fldChar w:fldCharType="separate"/>
          </w:r>
          <w:r>
            <w:rPr>
              <w:color w:val="auto"/>
              <w:sz w:val="24"/>
              <w:szCs w:val="24"/>
            </w:rPr>
            <w:t>18</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_Toc9535 </w:instrText>
          </w:r>
          <w:r>
            <w:rPr>
              <w:rFonts w:hint="eastAsia" w:ascii="宋体" w:hAnsi="宋体"/>
              <w:color w:val="auto"/>
              <w:sz w:val="24"/>
              <w:szCs w:val="24"/>
            </w:rPr>
            <w:fldChar w:fldCharType="separate"/>
          </w:r>
          <w:r>
            <w:rPr>
              <w:rFonts w:hint="eastAsia"/>
              <w:color w:val="auto"/>
              <w:sz w:val="24"/>
              <w:szCs w:val="24"/>
            </w:rPr>
            <w:t>8</w:t>
          </w:r>
          <w:r>
            <w:rPr>
              <w:color w:val="auto"/>
              <w:sz w:val="24"/>
              <w:szCs w:val="24"/>
            </w:rPr>
            <w:t xml:space="preserve"> </w:t>
          </w:r>
          <w:r>
            <w:rPr>
              <w:rFonts w:hint="eastAsia"/>
              <w:color w:val="auto"/>
              <w:sz w:val="24"/>
              <w:szCs w:val="24"/>
            </w:rPr>
            <w:t>质量检验与验收</w:t>
          </w:r>
          <w:r>
            <w:rPr>
              <w:color w:val="auto"/>
              <w:sz w:val="24"/>
              <w:szCs w:val="24"/>
            </w:rPr>
            <w:tab/>
          </w:r>
          <w:r>
            <w:rPr>
              <w:color w:val="auto"/>
              <w:sz w:val="24"/>
              <w:szCs w:val="24"/>
            </w:rPr>
            <w:fldChar w:fldCharType="begin"/>
          </w:r>
          <w:r>
            <w:rPr>
              <w:color w:val="auto"/>
              <w:sz w:val="24"/>
              <w:szCs w:val="24"/>
            </w:rPr>
            <w:instrText xml:space="preserve"> PAGEREF _Toc9535 \h </w:instrText>
          </w:r>
          <w:r>
            <w:rPr>
              <w:color w:val="auto"/>
              <w:sz w:val="24"/>
              <w:szCs w:val="24"/>
            </w:rPr>
            <w:fldChar w:fldCharType="separate"/>
          </w:r>
          <w:r>
            <w:rPr>
              <w:color w:val="auto"/>
              <w:sz w:val="24"/>
              <w:szCs w:val="24"/>
            </w:rPr>
            <w:t>20</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_Toc16617 </w:instrText>
          </w:r>
          <w:r>
            <w:rPr>
              <w:rFonts w:hint="eastAsia" w:ascii="宋体" w:hAnsi="宋体"/>
              <w:color w:val="auto"/>
              <w:sz w:val="24"/>
              <w:szCs w:val="24"/>
            </w:rPr>
            <w:fldChar w:fldCharType="separate"/>
          </w:r>
          <w:r>
            <w:rPr>
              <w:rFonts w:hint="eastAsia"/>
              <w:color w:val="auto"/>
              <w:sz w:val="24"/>
              <w:szCs w:val="24"/>
            </w:rPr>
            <w:t>8</w:t>
          </w:r>
          <w:r>
            <w:rPr>
              <w:color w:val="auto"/>
              <w:sz w:val="24"/>
              <w:szCs w:val="24"/>
            </w:rPr>
            <w:t xml:space="preserve">.1 </w:t>
          </w:r>
          <w:r>
            <w:rPr>
              <w:rFonts w:hint="eastAsia"/>
              <w:color w:val="auto"/>
              <w:sz w:val="24"/>
              <w:szCs w:val="24"/>
            </w:rPr>
            <w:t>原材料质量检验</w:t>
          </w:r>
          <w:r>
            <w:rPr>
              <w:color w:val="auto"/>
              <w:sz w:val="24"/>
              <w:szCs w:val="24"/>
            </w:rPr>
            <w:tab/>
          </w:r>
          <w:r>
            <w:rPr>
              <w:color w:val="auto"/>
              <w:sz w:val="24"/>
              <w:szCs w:val="24"/>
            </w:rPr>
            <w:fldChar w:fldCharType="begin"/>
          </w:r>
          <w:r>
            <w:rPr>
              <w:color w:val="auto"/>
              <w:sz w:val="24"/>
              <w:szCs w:val="24"/>
            </w:rPr>
            <w:instrText xml:space="preserve"> PAGEREF _Toc16617 \h </w:instrText>
          </w:r>
          <w:r>
            <w:rPr>
              <w:color w:val="auto"/>
              <w:sz w:val="24"/>
              <w:szCs w:val="24"/>
            </w:rPr>
            <w:fldChar w:fldCharType="separate"/>
          </w:r>
          <w:r>
            <w:rPr>
              <w:color w:val="auto"/>
              <w:sz w:val="24"/>
              <w:szCs w:val="24"/>
            </w:rPr>
            <w:t>20</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_Toc1687 </w:instrText>
          </w:r>
          <w:r>
            <w:rPr>
              <w:rFonts w:hint="eastAsia" w:ascii="宋体" w:hAnsi="宋体"/>
              <w:color w:val="auto"/>
              <w:sz w:val="24"/>
              <w:szCs w:val="24"/>
            </w:rPr>
            <w:fldChar w:fldCharType="separate"/>
          </w:r>
          <w:r>
            <w:rPr>
              <w:rFonts w:hint="eastAsia"/>
              <w:color w:val="auto"/>
              <w:sz w:val="24"/>
              <w:szCs w:val="24"/>
            </w:rPr>
            <w:t>8.2 拌合物性能检验</w:t>
          </w:r>
          <w:r>
            <w:rPr>
              <w:color w:val="auto"/>
              <w:sz w:val="24"/>
              <w:szCs w:val="24"/>
            </w:rPr>
            <w:tab/>
          </w:r>
          <w:r>
            <w:rPr>
              <w:color w:val="auto"/>
              <w:sz w:val="24"/>
              <w:szCs w:val="24"/>
            </w:rPr>
            <w:fldChar w:fldCharType="begin"/>
          </w:r>
          <w:r>
            <w:rPr>
              <w:color w:val="auto"/>
              <w:sz w:val="24"/>
              <w:szCs w:val="24"/>
            </w:rPr>
            <w:instrText xml:space="preserve"> PAGEREF _Toc1687 \h </w:instrText>
          </w:r>
          <w:r>
            <w:rPr>
              <w:color w:val="auto"/>
              <w:sz w:val="24"/>
              <w:szCs w:val="24"/>
            </w:rPr>
            <w:fldChar w:fldCharType="separate"/>
          </w:r>
          <w:r>
            <w:rPr>
              <w:color w:val="auto"/>
              <w:sz w:val="24"/>
              <w:szCs w:val="24"/>
            </w:rPr>
            <w:t>20</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_Toc25784 </w:instrText>
          </w:r>
          <w:r>
            <w:rPr>
              <w:rFonts w:hint="eastAsia" w:ascii="宋体" w:hAnsi="宋体"/>
              <w:color w:val="auto"/>
              <w:sz w:val="24"/>
              <w:szCs w:val="24"/>
            </w:rPr>
            <w:fldChar w:fldCharType="separate"/>
          </w:r>
          <w:r>
            <w:rPr>
              <w:rFonts w:hint="eastAsia"/>
              <w:color w:val="auto"/>
              <w:sz w:val="24"/>
              <w:szCs w:val="24"/>
            </w:rPr>
            <w:t>8.3 力学性能检验</w:t>
          </w:r>
          <w:r>
            <w:rPr>
              <w:color w:val="auto"/>
              <w:sz w:val="24"/>
              <w:szCs w:val="24"/>
            </w:rPr>
            <w:tab/>
          </w:r>
          <w:r>
            <w:rPr>
              <w:color w:val="auto"/>
              <w:sz w:val="24"/>
              <w:szCs w:val="24"/>
            </w:rPr>
            <w:fldChar w:fldCharType="begin"/>
          </w:r>
          <w:r>
            <w:rPr>
              <w:color w:val="auto"/>
              <w:sz w:val="24"/>
              <w:szCs w:val="24"/>
            </w:rPr>
            <w:instrText xml:space="preserve"> PAGEREF _Toc25784 \h </w:instrText>
          </w:r>
          <w:r>
            <w:rPr>
              <w:color w:val="auto"/>
              <w:sz w:val="24"/>
              <w:szCs w:val="24"/>
            </w:rPr>
            <w:fldChar w:fldCharType="separate"/>
          </w:r>
          <w:r>
            <w:rPr>
              <w:color w:val="auto"/>
              <w:sz w:val="24"/>
              <w:szCs w:val="24"/>
            </w:rPr>
            <w:t>20</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_Toc31100 </w:instrText>
          </w:r>
          <w:r>
            <w:rPr>
              <w:rFonts w:hint="eastAsia" w:ascii="宋体" w:hAnsi="宋体"/>
              <w:color w:val="auto"/>
              <w:sz w:val="24"/>
              <w:szCs w:val="24"/>
            </w:rPr>
            <w:fldChar w:fldCharType="separate"/>
          </w:r>
          <w:r>
            <w:rPr>
              <w:rFonts w:hint="eastAsia"/>
              <w:color w:val="auto"/>
              <w:sz w:val="24"/>
              <w:szCs w:val="24"/>
            </w:rPr>
            <w:t>8.4 长期性能和耐久性能检验</w:t>
          </w:r>
          <w:r>
            <w:rPr>
              <w:color w:val="auto"/>
              <w:sz w:val="24"/>
              <w:szCs w:val="24"/>
            </w:rPr>
            <w:tab/>
          </w:r>
          <w:r>
            <w:rPr>
              <w:color w:val="auto"/>
              <w:sz w:val="24"/>
              <w:szCs w:val="24"/>
            </w:rPr>
            <w:fldChar w:fldCharType="begin"/>
          </w:r>
          <w:r>
            <w:rPr>
              <w:color w:val="auto"/>
              <w:sz w:val="24"/>
              <w:szCs w:val="24"/>
            </w:rPr>
            <w:instrText xml:space="preserve"> PAGEREF _Toc31100 \h </w:instrText>
          </w:r>
          <w:r>
            <w:rPr>
              <w:color w:val="auto"/>
              <w:sz w:val="24"/>
              <w:szCs w:val="24"/>
            </w:rPr>
            <w:fldChar w:fldCharType="separate"/>
          </w:r>
          <w:r>
            <w:rPr>
              <w:color w:val="auto"/>
              <w:sz w:val="24"/>
              <w:szCs w:val="24"/>
            </w:rPr>
            <w:t>21</w:t>
          </w:r>
          <w:r>
            <w:rPr>
              <w:color w:val="auto"/>
              <w:sz w:val="24"/>
              <w:szCs w:val="24"/>
            </w:rPr>
            <w:fldChar w:fldCharType="end"/>
          </w:r>
          <w:r>
            <w:rPr>
              <w:rFonts w:hint="eastAsia" w:ascii="宋体" w:hAnsi="宋体"/>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240" w:firstLineChars="100"/>
            <w:textAlignment w:val="auto"/>
            <w:rPr>
              <w:rFonts w:hint="eastAsia" w:ascii="宋体" w:hAnsi="宋体"/>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_Toc28465 </w:instrText>
          </w:r>
          <w:r>
            <w:rPr>
              <w:rFonts w:hint="eastAsia" w:ascii="宋体" w:hAnsi="宋体"/>
              <w:color w:val="auto"/>
              <w:sz w:val="24"/>
              <w:szCs w:val="24"/>
            </w:rPr>
            <w:fldChar w:fldCharType="separate"/>
          </w:r>
          <w:r>
            <w:rPr>
              <w:rFonts w:hint="eastAsia"/>
              <w:color w:val="auto"/>
              <w:sz w:val="24"/>
              <w:szCs w:val="24"/>
            </w:rPr>
            <w:t>8.5 混凝土工程验收</w:t>
          </w:r>
          <w:r>
            <w:rPr>
              <w:color w:val="auto"/>
              <w:sz w:val="24"/>
              <w:szCs w:val="24"/>
            </w:rPr>
            <w:tab/>
          </w:r>
          <w:r>
            <w:rPr>
              <w:color w:val="auto"/>
              <w:sz w:val="24"/>
              <w:szCs w:val="24"/>
            </w:rPr>
            <w:fldChar w:fldCharType="begin"/>
          </w:r>
          <w:r>
            <w:rPr>
              <w:color w:val="auto"/>
              <w:sz w:val="24"/>
              <w:szCs w:val="24"/>
            </w:rPr>
            <w:instrText xml:space="preserve"> PAGEREF _Toc28465 \h </w:instrText>
          </w:r>
          <w:r>
            <w:rPr>
              <w:color w:val="auto"/>
              <w:sz w:val="24"/>
              <w:szCs w:val="24"/>
            </w:rPr>
            <w:fldChar w:fldCharType="separate"/>
          </w:r>
          <w:r>
            <w:rPr>
              <w:color w:val="auto"/>
              <w:sz w:val="24"/>
              <w:szCs w:val="24"/>
            </w:rPr>
            <w:t>21</w:t>
          </w:r>
          <w:r>
            <w:rPr>
              <w:color w:val="auto"/>
              <w:sz w:val="24"/>
              <w:szCs w:val="24"/>
            </w:rPr>
            <w:fldChar w:fldCharType="end"/>
          </w:r>
          <w:r>
            <w:rPr>
              <w:rFonts w:hint="eastAsia" w:ascii="宋体" w:hAnsi="宋体"/>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附录A 特细砂氯离子全自动测定方</w:t>
          </w:r>
          <w:r>
            <w:rPr>
              <w:rFonts w:hint="eastAsia" w:cs="Times New Roman"/>
              <w:color w:val="auto"/>
              <w:kern w:val="2"/>
              <w:sz w:val="24"/>
              <w:szCs w:val="24"/>
              <w:lang w:val="en-US" w:eastAsia="zh-CN" w:bidi="ar-SA"/>
            </w:rPr>
            <w:t>法.....................................................................</w:t>
          </w:r>
          <w:r>
            <w:rPr>
              <w:color w:val="auto"/>
              <w:sz w:val="24"/>
              <w:szCs w:val="24"/>
            </w:rPr>
            <w:fldChar w:fldCharType="begin"/>
          </w:r>
          <w:r>
            <w:rPr>
              <w:color w:val="auto"/>
              <w:sz w:val="24"/>
              <w:szCs w:val="24"/>
            </w:rPr>
            <w:instrText xml:space="preserve"> PAGEREF _Toc28465 \h </w:instrText>
          </w:r>
          <w:r>
            <w:rPr>
              <w:color w:val="auto"/>
              <w:sz w:val="24"/>
              <w:szCs w:val="24"/>
            </w:rPr>
            <w:fldChar w:fldCharType="separate"/>
          </w:r>
          <w:r>
            <w:rPr>
              <w:color w:val="auto"/>
              <w:sz w:val="24"/>
              <w:szCs w:val="24"/>
            </w:rPr>
            <w:t>21</w:t>
          </w:r>
          <w:r>
            <w:rPr>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_Toc23352 </w:instrText>
          </w:r>
          <w:r>
            <w:rPr>
              <w:rFonts w:hint="eastAsia" w:ascii="宋体" w:hAnsi="宋体"/>
              <w:color w:val="auto"/>
              <w:sz w:val="24"/>
              <w:szCs w:val="24"/>
            </w:rPr>
            <w:fldChar w:fldCharType="separate"/>
          </w:r>
          <w:r>
            <w:rPr>
              <w:color w:val="auto"/>
              <w:sz w:val="24"/>
              <w:szCs w:val="24"/>
              <w:lang w:val="zh-CN"/>
            </w:rPr>
            <w:t>本规程用词说明</w:t>
          </w:r>
          <w:r>
            <w:rPr>
              <w:color w:val="auto"/>
              <w:sz w:val="24"/>
              <w:szCs w:val="24"/>
            </w:rPr>
            <w:tab/>
          </w:r>
          <w:r>
            <w:rPr>
              <w:color w:val="auto"/>
              <w:sz w:val="24"/>
              <w:szCs w:val="24"/>
            </w:rPr>
            <w:fldChar w:fldCharType="begin"/>
          </w:r>
          <w:r>
            <w:rPr>
              <w:color w:val="auto"/>
              <w:sz w:val="24"/>
              <w:szCs w:val="24"/>
            </w:rPr>
            <w:instrText xml:space="preserve"> PAGEREF _Toc23352 \h </w:instrText>
          </w:r>
          <w:r>
            <w:rPr>
              <w:color w:val="auto"/>
              <w:sz w:val="24"/>
              <w:szCs w:val="24"/>
            </w:rPr>
            <w:fldChar w:fldCharType="separate"/>
          </w:r>
          <w:r>
            <w:rPr>
              <w:color w:val="auto"/>
              <w:sz w:val="24"/>
              <w:szCs w:val="24"/>
            </w:rPr>
            <w:t>23</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_Toc4586 </w:instrText>
          </w:r>
          <w:r>
            <w:rPr>
              <w:rFonts w:hint="eastAsia" w:ascii="宋体" w:hAnsi="宋体"/>
              <w:color w:val="auto"/>
              <w:sz w:val="24"/>
              <w:szCs w:val="24"/>
            </w:rPr>
            <w:fldChar w:fldCharType="separate"/>
          </w:r>
          <w:r>
            <w:rPr>
              <w:rFonts w:hint="eastAsia"/>
              <w:color w:val="auto"/>
              <w:sz w:val="24"/>
              <w:szCs w:val="24"/>
              <w:lang w:val="zh-CN"/>
            </w:rPr>
            <w:t>引用标准名录</w:t>
          </w:r>
          <w:r>
            <w:rPr>
              <w:color w:val="auto"/>
              <w:sz w:val="24"/>
              <w:szCs w:val="24"/>
            </w:rPr>
            <w:tab/>
          </w:r>
          <w:r>
            <w:rPr>
              <w:color w:val="auto"/>
              <w:sz w:val="24"/>
              <w:szCs w:val="24"/>
            </w:rPr>
            <w:fldChar w:fldCharType="begin"/>
          </w:r>
          <w:r>
            <w:rPr>
              <w:color w:val="auto"/>
              <w:sz w:val="24"/>
              <w:szCs w:val="24"/>
            </w:rPr>
            <w:instrText xml:space="preserve"> PAGEREF _Toc4586 \h </w:instrText>
          </w:r>
          <w:r>
            <w:rPr>
              <w:color w:val="auto"/>
              <w:sz w:val="24"/>
              <w:szCs w:val="24"/>
            </w:rPr>
            <w:fldChar w:fldCharType="separate"/>
          </w:r>
          <w:r>
            <w:rPr>
              <w:color w:val="auto"/>
              <w:sz w:val="24"/>
              <w:szCs w:val="24"/>
            </w:rPr>
            <w:t>24</w:t>
          </w:r>
          <w:r>
            <w:rPr>
              <w:color w:val="auto"/>
              <w:sz w:val="24"/>
              <w:szCs w:val="24"/>
            </w:rPr>
            <w:fldChar w:fldCharType="end"/>
          </w:r>
          <w:r>
            <w:rPr>
              <w:rFonts w:hint="eastAsia" w:ascii="宋体" w:hAnsi="宋体"/>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宋体" w:hAnsi="宋体"/>
              <w:color w:val="auto"/>
              <w:sz w:val="24"/>
            </w:rPr>
            <w:sectPr>
              <w:footerReference r:id="rId7" w:type="default"/>
              <w:pgSz w:w="11906" w:h="16838"/>
              <w:pgMar w:top="1440" w:right="1800" w:bottom="1440" w:left="1800" w:header="851" w:footer="992" w:gutter="0"/>
              <w:cols w:space="720" w:num="1"/>
              <w:titlePg/>
              <w:docGrid w:type="lines" w:linePitch="312" w:charSpace="0"/>
            </w:sectPr>
          </w:pPr>
          <w:r>
            <w:rPr>
              <w:rFonts w:hint="eastAsia" w:ascii="宋体" w:hAnsi="宋体"/>
              <w:color w:val="auto"/>
              <w:sz w:val="24"/>
              <w:szCs w:val="24"/>
            </w:rPr>
            <w:fldChar w:fldCharType="begin"/>
          </w:r>
          <w:r>
            <w:rPr>
              <w:rFonts w:hint="eastAsia" w:ascii="宋体" w:hAnsi="宋体"/>
              <w:color w:val="auto"/>
              <w:sz w:val="24"/>
              <w:szCs w:val="24"/>
            </w:rPr>
            <w:instrText xml:space="preserve"> HYPERLINK \l _Toc25737 </w:instrText>
          </w:r>
          <w:r>
            <w:rPr>
              <w:rFonts w:hint="eastAsia" w:ascii="宋体" w:hAnsi="宋体"/>
              <w:color w:val="auto"/>
              <w:sz w:val="24"/>
              <w:szCs w:val="24"/>
            </w:rPr>
            <w:fldChar w:fldCharType="separate"/>
          </w:r>
          <w:r>
            <w:rPr>
              <w:rFonts w:hint="eastAsia" w:eastAsia="宋体" w:cs="Times New Roman"/>
              <w:color w:val="auto"/>
              <w:sz w:val="24"/>
              <w:szCs w:val="24"/>
              <w:lang w:eastAsia="zh-CN"/>
            </w:rPr>
            <w:t>条</w:t>
          </w:r>
          <w:r>
            <w:rPr>
              <w:rFonts w:hint="eastAsia" w:eastAsia="宋体" w:cs="Times New Roman"/>
              <w:color w:val="auto"/>
              <w:sz w:val="24"/>
              <w:szCs w:val="24"/>
              <w:lang w:val="en-US" w:eastAsia="zh-CN"/>
            </w:rPr>
            <w:t xml:space="preserve"> </w:t>
          </w:r>
          <w:r>
            <w:rPr>
              <w:rFonts w:hint="eastAsia" w:eastAsia="宋体" w:cs="Times New Roman"/>
              <w:color w:val="auto"/>
              <w:sz w:val="24"/>
              <w:szCs w:val="24"/>
              <w:lang w:eastAsia="zh-CN"/>
            </w:rPr>
            <w:t>文</w:t>
          </w:r>
          <w:r>
            <w:rPr>
              <w:rFonts w:hint="eastAsia" w:eastAsia="宋体" w:cs="Times New Roman"/>
              <w:color w:val="auto"/>
              <w:sz w:val="24"/>
              <w:szCs w:val="24"/>
              <w:lang w:val="en-US" w:eastAsia="zh-CN"/>
            </w:rPr>
            <w:t xml:space="preserve"> </w:t>
          </w:r>
          <w:r>
            <w:rPr>
              <w:rFonts w:hint="eastAsia" w:eastAsia="宋体" w:cs="Times New Roman"/>
              <w:color w:val="auto"/>
              <w:sz w:val="24"/>
              <w:szCs w:val="24"/>
              <w:lang w:eastAsia="zh-CN"/>
            </w:rPr>
            <w:t>说</w:t>
          </w:r>
          <w:r>
            <w:rPr>
              <w:rFonts w:hint="eastAsia" w:eastAsia="宋体" w:cs="Times New Roman"/>
              <w:color w:val="auto"/>
              <w:sz w:val="24"/>
              <w:szCs w:val="24"/>
              <w:lang w:val="en-US" w:eastAsia="zh-CN"/>
            </w:rPr>
            <w:t xml:space="preserve"> </w:t>
          </w:r>
          <w:r>
            <w:rPr>
              <w:rFonts w:hint="eastAsia" w:eastAsia="宋体" w:cs="Times New Roman"/>
              <w:color w:val="auto"/>
              <w:sz w:val="24"/>
              <w:szCs w:val="24"/>
              <w:lang w:eastAsia="zh-CN"/>
            </w:rPr>
            <w:t>明</w:t>
          </w:r>
          <w:r>
            <w:rPr>
              <w:color w:val="auto"/>
              <w:sz w:val="24"/>
              <w:szCs w:val="24"/>
            </w:rPr>
            <w:tab/>
          </w:r>
          <w:r>
            <w:rPr>
              <w:color w:val="auto"/>
              <w:sz w:val="24"/>
              <w:szCs w:val="24"/>
            </w:rPr>
            <w:fldChar w:fldCharType="begin"/>
          </w:r>
          <w:r>
            <w:rPr>
              <w:color w:val="auto"/>
              <w:sz w:val="24"/>
              <w:szCs w:val="24"/>
            </w:rPr>
            <w:instrText xml:space="preserve"> PAGEREF _Toc25737 \h </w:instrText>
          </w:r>
          <w:r>
            <w:rPr>
              <w:color w:val="auto"/>
              <w:sz w:val="24"/>
              <w:szCs w:val="24"/>
            </w:rPr>
            <w:fldChar w:fldCharType="separate"/>
          </w:r>
          <w:r>
            <w:rPr>
              <w:color w:val="auto"/>
              <w:sz w:val="24"/>
              <w:szCs w:val="24"/>
            </w:rPr>
            <w:t>26</w:t>
          </w:r>
          <w:r>
            <w:rPr>
              <w:color w:val="auto"/>
              <w:sz w:val="24"/>
              <w:szCs w:val="24"/>
            </w:rPr>
            <w:fldChar w:fldCharType="end"/>
          </w:r>
          <w:r>
            <w:rPr>
              <w:rFonts w:hint="eastAsia" w:ascii="宋体" w:hAnsi="宋体"/>
              <w:color w:val="auto"/>
              <w:sz w:val="24"/>
              <w:szCs w:val="24"/>
            </w:rPr>
            <w:fldChar w:fldCharType="end"/>
          </w:r>
          <w:r>
            <w:rPr>
              <w:rFonts w:hint="eastAsia" w:ascii="宋体" w:hAnsi="宋体"/>
              <w:color w:val="auto"/>
              <w:sz w:val="24"/>
              <w:szCs w:val="24"/>
            </w:rPr>
            <w:fldChar w:fldCharType="end"/>
          </w:r>
        </w:p>
      </w:sdtContent>
    </w:sdt>
    <w:p>
      <w:pPr>
        <w:pStyle w:val="2"/>
        <w:keepNext/>
        <w:keepLines/>
        <w:pageBreakBefore w:val="0"/>
        <w:widowControl w:val="0"/>
        <w:kinsoku/>
        <w:wordWrap/>
        <w:overflowPunct/>
        <w:topLinePunct w:val="0"/>
        <w:autoSpaceDE/>
        <w:autoSpaceDN/>
        <w:bidi w:val="0"/>
        <w:adjustRightInd/>
        <w:snapToGrid/>
        <w:textAlignment w:val="auto"/>
        <w:rPr>
          <w:b w:val="0"/>
          <w:bCs w:val="0"/>
          <w:color w:val="auto"/>
          <w:sz w:val="24"/>
        </w:rPr>
      </w:pPr>
      <w:bookmarkStart w:id="5" w:name="_Toc14015"/>
      <w:bookmarkStart w:id="6" w:name="_Toc24815"/>
      <w:bookmarkStart w:id="7" w:name="_Toc31054"/>
      <w:bookmarkStart w:id="8" w:name="_Toc6777"/>
      <w:bookmarkStart w:id="9" w:name="_Toc9197"/>
      <w:bookmarkStart w:id="10" w:name="_Toc11469"/>
      <w:bookmarkStart w:id="11" w:name="_Toc11273"/>
      <w:bookmarkStart w:id="12" w:name="_Toc5195"/>
      <w:bookmarkStart w:id="13" w:name="_Toc1082"/>
      <w:bookmarkStart w:id="14" w:name="_Toc8194"/>
      <w:r>
        <w:rPr>
          <w:color w:val="auto"/>
        </w:rPr>
        <w:t xml:space="preserve">1  总 </w:t>
      </w:r>
      <w:r>
        <w:rPr>
          <w:rFonts w:hint="eastAsia"/>
          <w:color w:val="auto"/>
        </w:rPr>
        <w:t xml:space="preserve"> </w:t>
      </w:r>
      <w:r>
        <w:rPr>
          <w:color w:val="auto"/>
        </w:rPr>
        <w:t>则</w:t>
      </w:r>
      <w:bookmarkEnd w:id="5"/>
      <w:bookmarkEnd w:id="6"/>
      <w:bookmarkEnd w:id="7"/>
      <w:bookmarkEnd w:id="8"/>
      <w:bookmarkEnd w:id="9"/>
      <w:bookmarkEnd w:id="10"/>
      <w:bookmarkEnd w:id="11"/>
      <w:bookmarkEnd w:id="12"/>
      <w:bookmarkEnd w:id="13"/>
      <w:bookmarkEnd w:id="14"/>
    </w:p>
    <w:p>
      <w:pPr>
        <w:spacing w:line="360" w:lineRule="auto"/>
        <w:rPr>
          <w:bCs/>
          <w:color w:val="auto"/>
          <w:sz w:val="24"/>
        </w:rPr>
      </w:pPr>
      <w:r>
        <w:rPr>
          <w:b/>
          <w:bCs/>
          <w:color w:val="auto"/>
          <w:sz w:val="24"/>
        </w:rPr>
        <w:t>1.0.1</w:t>
      </w:r>
      <w:r>
        <w:rPr>
          <w:bCs/>
          <w:color w:val="auto"/>
          <w:sz w:val="24"/>
        </w:rPr>
        <w:t xml:space="preserve">  </w:t>
      </w:r>
      <w:r>
        <w:rPr>
          <w:rFonts w:hint="eastAsia"/>
          <w:bCs/>
          <w:color w:val="auto"/>
          <w:sz w:val="24"/>
        </w:rPr>
        <w:t>为合理利用特细砂资源，提高特细砂混凝土生产技术管理水平，规范特细砂在预拌混凝土生产中的应用，保证特细砂混凝土生产及工程质量，制定本规程。</w:t>
      </w:r>
      <w:r>
        <w:rPr>
          <w:b/>
          <w:bCs/>
          <w:color w:val="auto"/>
          <w:sz w:val="24"/>
        </w:rPr>
        <w:t>1.0.2</w:t>
      </w:r>
      <w:r>
        <w:rPr>
          <w:bCs/>
          <w:color w:val="auto"/>
          <w:sz w:val="24"/>
        </w:rPr>
        <w:t xml:space="preserve">  </w:t>
      </w:r>
      <w:r>
        <w:rPr>
          <w:rFonts w:hint="eastAsia"/>
          <w:bCs/>
          <w:color w:val="auto"/>
          <w:sz w:val="24"/>
        </w:rPr>
        <w:t>本规程适用于安徽省</w:t>
      </w:r>
      <w:r>
        <w:rPr>
          <w:rFonts w:hint="eastAsia"/>
          <w:bCs/>
          <w:color w:val="auto"/>
          <w:sz w:val="24"/>
          <w:lang w:eastAsia="zh-CN"/>
        </w:rPr>
        <w:t>区域内</w:t>
      </w:r>
      <w:r>
        <w:rPr>
          <w:rFonts w:hint="eastAsia"/>
          <w:bCs/>
          <w:color w:val="auto"/>
          <w:sz w:val="24"/>
        </w:rPr>
        <w:t>特细砂混凝土的原材料质量控制、混凝土</w:t>
      </w:r>
      <w:r>
        <w:rPr>
          <w:rFonts w:hint="eastAsia"/>
          <w:bCs/>
          <w:color w:val="auto"/>
          <w:sz w:val="24"/>
          <w:lang w:eastAsia="zh-CN"/>
        </w:rPr>
        <w:t>性能</w:t>
      </w:r>
      <w:r>
        <w:rPr>
          <w:rFonts w:hint="eastAsia"/>
          <w:bCs/>
          <w:color w:val="auto"/>
          <w:sz w:val="24"/>
          <w:lang w:eastAsia="zh-CN"/>
        </w:rPr>
        <w:t>要求</w:t>
      </w:r>
      <w:r>
        <w:rPr>
          <w:rFonts w:hint="eastAsia"/>
          <w:bCs/>
          <w:color w:val="auto"/>
          <w:sz w:val="24"/>
        </w:rPr>
        <w:t>、配合比设计、生产与施工、质量检验与验收。</w:t>
      </w:r>
    </w:p>
    <w:p>
      <w:pPr>
        <w:spacing w:line="360" w:lineRule="auto"/>
        <w:rPr>
          <w:rFonts w:hint="eastAsia"/>
          <w:bCs/>
          <w:color w:val="auto"/>
          <w:sz w:val="24"/>
        </w:rPr>
      </w:pPr>
      <w:r>
        <w:rPr>
          <w:b/>
          <w:bCs/>
          <w:color w:val="auto"/>
          <w:sz w:val="24"/>
        </w:rPr>
        <w:t>1.0.3</w:t>
      </w:r>
      <w:r>
        <w:rPr>
          <w:bCs/>
          <w:color w:val="auto"/>
          <w:sz w:val="24"/>
        </w:rPr>
        <w:t xml:space="preserve">  </w:t>
      </w:r>
      <w:r>
        <w:rPr>
          <w:rFonts w:hint="eastAsia"/>
          <w:bCs/>
          <w:color w:val="auto"/>
          <w:sz w:val="24"/>
        </w:rPr>
        <w:t>特细砂混凝土的应用除应符合本规程外，尚应符合有关法律、法规的规定及国家、行业和安徽省现行相关标准的规定。</w:t>
      </w:r>
    </w:p>
    <w:p>
      <w:pPr>
        <w:spacing w:line="360" w:lineRule="auto"/>
        <w:rPr>
          <w:bCs/>
          <w:color w:val="auto"/>
          <w:sz w:val="24"/>
        </w:rPr>
        <w:sectPr>
          <w:footerReference r:id="rId8" w:type="default"/>
          <w:pgSz w:w="11906" w:h="16838"/>
          <w:pgMar w:top="1440" w:right="1800" w:bottom="1440" w:left="1800" w:header="851" w:footer="992" w:gutter="0"/>
          <w:pgNumType w:fmt="decimal" w:start="1"/>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textAlignment w:val="auto"/>
        <w:rPr>
          <w:rFonts w:hint="eastAsia"/>
          <w:color w:val="auto"/>
        </w:rPr>
      </w:pPr>
      <w:bookmarkStart w:id="15" w:name="_Toc31635"/>
      <w:bookmarkStart w:id="16" w:name="_Toc17255"/>
      <w:r>
        <w:rPr>
          <w:color w:val="auto"/>
        </w:rPr>
        <w:t>2  术语</w:t>
      </w:r>
      <w:r>
        <w:rPr>
          <w:rFonts w:hint="eastAsia"/>
          <w:color w:val="auto"/>
        </w:rPr>
        <w:t>和符号</w:t>
      </w:r>
      <w:bookmarkEnd w:id="15"/>
      <w:bookmarkEnd w:id="16"/>
    </w:p>
    <w:p>
      <w:pPr>
        <w:pStyle w:val="3"/>
        <w:keepNext/>
        <w:keepLines/>
        <w:pageBreakBefore w:val="0"/>
        <w:widowControl w:val="0"/>
        <w:kinsoku/>
        <w:wordWrap/>
        <w:overflowPunct/>
        <w:topLinePunct w:val="0"/>
        <w:autoSpaceDE/>
        <w:autoSpaceDN/>
        <w:bidi w:val="0"/>
        <w:adjustRightInd/>
        <w:snapToGrid/>
        <w:textAlignment w:val="auto"/>
        <w:outlineLvl w:val="1"/>
        <w:rPr>
          <w:rFonts w:hint="eastAsia"/>
          <w:color w:val="auto"/>
        </w:rPr>
      </w:pPr>
      <w:bookmarkStart w:id="17" w:name="_Toc7082"/>
      <w:bookmarkStart w:id="18" w:name="_Toc22443"/>
      <w:r>
        <w:rPr>
          <w:color w:val="auto"/>
        </w:rPr>
        <w:t>2</w:t>
      </w:r>
      <w:r>
        <w:rPr>
          <w:rFonts w:hint="eastAsia"/>
          <w:color w:val="auto"/>
        </w:rPr>
        <w:t>.1</w:t>
      </w:r>
      <w:r>
        <w:rPr>
          <w:color w:val="auto"/>
        </w:rPr>
        <w:t xml:space="preserve">  术语</w:t>
      </w:r>
      <w:bookmarkEnd w:id="17"/>
      <w:bookmarkEnd w:id="18"/>
    </w:p>
    <w:p>
      <w:pPr>
        <w:spacing w:line="360" w:lineRule="auto"/>
        <w:rPr>
          <w:rFonts w:hint="default" w:eastAsia="宋体"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.1</w:t>
      </w:r>
      <w:r>
        <w:rPr>
          <w:color w:val="auto"/>
          <w:sz w:val="24"/>
          <w:highlight w:val="none"/>
        </w:rPr>
        <w:t xml:space="preserve">  </w:t>
      </w:r>
      <w:r>
        <w:rPr>
          <w:rFonts w:hint="eastAsia" w:eastAsia="宋体" w:cs="Times New Roman"/>
          <w:color w:val="auto"/>
          <w:sz w:val="24"/>
          <w:highlight w:val="none"/>
          <w:lang w:eastAsia="zh-CN"/>
        </w:rPr>
        <w:t>特细砂</w:t>
      </w:r>
      <w:r>
        <w:rPr>
          <w:rFonts w:hint="eastAsia" w:eastAsia="宋体" w:cs="Times New Roman"/>
          <w:color w:val="auto"/>
          <w:sz w:val="24"/>
          <w:highlight w:val="none"/>
          <w:lang w:val="en-US" w:eastAsia="zh-CN"/>
        </w:rPr>
        <w:t xml:space="preserve">  super fine sand</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eastAsia="宋体" w:cs="Times New Roman"/>
          <w:color w:val="auto"/>
          <w:sz w:val="24"/>
          <w:highlight w:val="none"/>
          <w:lang w:eastAsia="zh-CN"/>
        </w:rPr>
        <w:t>细度模数为</w:t>
      </w:r>
      <w:r>
        <w:rPr>
          <w:rFonts w:hint="eastAsia" w:eastAsia="宋体" w:cs="Times New Roman"/>
          <w:color w:val="auto"/>
          <w:sz w:val="24"/>
          <w:highlight w:val="none"/>
          <w:lang w:val="en-US" w:eastAsia="zh-CN"/>
        </w:rPr>
        <w:t>1.5~0.7的天然河砂。</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eastAsia="宋体"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2  </w:t>
      </w:r>
      <w:r>
        <w:rPr>
          <w:rFonts w:hint="eastAsia" w:eastAsia="宋体" w:cs="Times New Roman"/>
          <w:color w:val="auto"/>
          <w:sz w:val="24"/>
          <w:highlight w:val="none"/>
          <w:lang w:val="en-US" w:eastAsia="zh-CN"/>
        </w:rPr>
        <w:t>胶凝材料 binder</w:t>
      </w:r>
    </w:p>
    <w:p>
      <w:pPr>
        <w:spacing w:line="360" w:lineRule="auto"/>
        <w:rPr>
          <w:rFonts w:hint="default" w:eastAsia="宋体" w:cs="Times New Roman"/>
          <w:color w:val="auto"/>
          <w:sz w:val="24"/>
          <w:highlight w:val="none"/>
          <w:lang w:val="en-US" w:eastAsia="zh-CN"/>
        </w:rPr>
      </w:pPr>
      <w:r>
        <w:rPr>
          <w:rFonts w:hint="eastAsia" w:eastAsia="宋体" w:cs="Times New Roman"/>
          <w:color w:val="auto"/>
          <w:sz w:val="24"/>
          <w:highlight w:val="none"/>
          <w:lang w:val="en-US" w:eastAsia="zh-CN"/>
        </w:rPr>
        <w:t xml:space="preserve">    混凝土中水泥和</w:t>
      </w:r>
      <w:r>
        <w:rPr>
          <w:rFonts w:hint="eastAsia" w:cs="Times New Roman"/>
          <w:color w:val="auto"/>
          <w:sz w:val="24"/>
          <w:highlight w:val="none"/>
          <w:lang w:val="en-US" w:eastAsia="zh-CN"/>
        </w:rPr>
        <w:t>活性</w:t>
      </w:r>
      <w:r>
        <w:rPr>
          <w:rFonts w:hint="eastAsia" w:eastAsia="宋体" w:cs="Times New Roman"/>
          <w:color w:val="auto"/>
          <w:sz w:val="24"/>
          <w:highlight w:val="none"/>
          <w:lang w:val="en-US" w:eastAsia="zh-CN"/>
        </w:rPr>
        <w:t>矿物掺合料的总称。</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eastAsia="宋体"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3</w:t>
      </w:r>
      <w:r>
        <w:rPr>
          <w:color w:val="auto"/>
          <w:sz w:val="24"/>
          <w:highlight w:val="none"/>
        </w:rPr>
        <w:t xml:space="preserve">  </w:t>
      </w:r>
      <w:r>
        <w:rPr>
          <w:rFonts w:hint="eastAsia" w:eastAsia="宋体" w:cs="Times New Roman"/>
          <w:color w:val="auto"/>
          <w:sz w:val="24"/>
          <w:highlight w:val="none"/>
          <w:lang w:eastAsia="zh-CN"/>
        </w:rPr>
        <w:t>特细砂混凝土</w:t>
      </w:r>
      <w:r>
        <w:rPr>
          <w:rFonts w:hint="eastAsia" w:eastAsia="宋体" w:cs="Times New Roman"/>
          <w:color w:val="auto"/>
          <w:sz w:val="24"/>
          <w:highlight w:val="none"/>
          <w:lang w:val="en-US" w:eastAsia="zh-CN"/>
        </w:rPr>
        <w:t xml:space="preserve"> super fine sand concrete</w:t>
      </w:r>
    </w:p>
    <w:p>
      <w:pPr>
        <w:spacing w:line="360" w:lineRule="auto"/>
        <w:ind w:firstLine="480"/>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全部使用特细砂作为细骨料配制的混凝土。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cs="Times New Roman"/>
          <w:color w:val="auto"/>
          <w:sz w:val="24"/>
          <w:highlight w:val="none"/>
          <w:lang w:val="en-US" w:eastAsia="zh-CN"/>
        </w:rPr>
      </w:pPr>
      <w:r>
        <w:rPr>
          <w:rFonts w:hint="eastAsia" w:cs="Times New Roman"/>
          <w:b/>
          <w:bCs/>
          <w:color w:val="auto"/>
          <w:sz w:val="24"/>
          <w:highlight w:val="none"/>
          <w:lang w:val="en-US" w:eastAsia="zh-CN"/>
        </w:rPr>
        <w:t>2.1.4</w:t>
      </w:r>
      <w:r>
        <w:rPr>
          <w:rFonts w:hint="eastAsia" w:cs="Times New Roman"/>
          <w:color w:val="auto"/>
          <w:sz w:val="24"/>
          <w:highlight w:val="none"/>
          <w:lang w:val="en-US" w:eastAsia="zh-CN"/>
        </w:rPr>
        <w:t xml:space="preserve">  砂浆剩余系数 residual coefficient of mortar</w:t>
      </w:r>
    </w:p>
    <w:p>
      <w:pPr>
        <w:spacing w:line="360" w:lineRule="auto"/>
        <w:ind w:firstLine="480" w:firstLineChars="200"/>
        <w:rPr>
          <w:rFonts w:hint="default" w:cs="Times New Roman"/>
          <w:color w:val="auto"/>
          <w:sz w:val="24"/>
          <w:highlight w:val="none"/>
          <w:lang w:val="en-US" w:eastAsia="zh-CN"/>
        </w:rPr>
      </w:pPr>
      <w:r>
        <w:rPr>
          <w:rFonts w:hint="eastAsia" w:cs="Times New Roman"/>
          <w:color w:val="auto"/>
          <w:sz w:val="24"/>
          <w:highlight w:val="none"/>
          <w:lang w:val="en-US" w:eastAsia="zh-CN"/>
        </w:rPr>
        <w:t>特细砂混凝土中砂浆体积与粗集料在自然状态下空隙体积的比值。</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eastAsia="宋体"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5  </w:t>
      </w:r>
      <w:r>
        <w:rPr>
          <w:rFonts w:hint="eastAsia"/>
          <w:bCs/>
          <w:color w:val="auto"/>
          <w:sz w:val="24"/>
          <w:lang w:eastAsia="zh-CN"/>
        </w:rPr>
        <w:t>预拌混凝土</w:t>
      </w:r>
      <w:r>
        <w:rPr>
          <w:rFonts w:hint="eastAsia"/>
          <w:bCs/>
          <w:color w:val="auto"/>
          <w:sz w:val="24"/>
          <w:lang w:val="en-US" w:eastAsia="zh-CN"/>
        </w:rPr>
        <w:t xml:space="preserve"> </w:t>
      </w:r>
      <w:r>
        <w:rPr>
          <w:rFonts w:hint="eastAsia" w:eastAsia="宋体" w:cs="Times New Roman"/>
          <w:color w:val="auto"/>
          <w:sz w:val="24"/>
          <w:highlight w:val="none"/>
          <w:lang w:val="en-US" w:eastAsia="zh-CN"/>
        </w:rPr>
        <w:t>ready-mixed concrete</w:t>
      </w:r>
    </w:p>
    <w:p>
      <w:pPr>
        <w:spacing w:line="360" w:lineRule="auto"/>
        <w:ind w:firstLine="480"/>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在搅拌站（楼）生产的、通过运输设备送至使用地点的、交货时为拌合物的混凝土。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6  </w:t>
      </w:r>
      <w:r>
        <w:rPr>
          <w:rFonts w:hint="eastAsia" w:cs="Times New Roman"/>
          <w:color w:val="auto"/>
          <w:sz w:val="24"/>
          <w:highlight w:val="none"/>
          <w:lang w:val="en-US" w:eastAsia="zh-CN"/>
        </w:rPr>
        <w:t xml:space="preserve">塑性特细砂混凝土 plastic </w:t>
      </w:r>
      <w:r>
        <w:rPr>
          <w:rFonts w:hint="eastAsia" w:eastAsia="宋体" w:cs="Times New Roman"/>
          <w:color w:val="auto"/>
          <w:sz w:val="24"/>
          <w:highlight w:val="none"/>
          <w:lang w:val="en-US" w:eastAsia="zh-CN"/>
        </w:rPr>
        <w:t>super fine sand concrete</w:t>
      </w:r>
    </w:p>
    <w:p>
      <w:pPr>
        <w:spacing w:line="360" w:lineRule="auto"/>
        <w:ind w:firstLine="480"/>
        <w:rPr>
          <w:rFonts w:hint="default" w:cs="Times New Roman"/>
          <w:color w:val="auto"/>
          <w:sz w:val="24"/>
          <w:highlight w:val="none"/>
          <w:lang w:val="en-US" w:eastAsia="zh-CN"/>
        </w:rPr>
      </w:pPr>
      <w:r>
        <w:rPr>
          <w:rFonts w:hint="eastAsia" w:cs="Times New Roman"/>
          <w:color w:val="auto"/>
          <w:sz w:val="24"/>
          <w:highlight w:val="none"/>
          <w:lang w:val="en-US" w:eastAsia="zh-CN"/>
        </w:rPr>
        <w:t>拌合物坍落度为10mm-90mm的特细砂混凝土。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7  </w:t>
      </w:r>
      <w:r>
        <w:rPr>
          <w:rFonts w:hint="eastAsia" w:cs="Times New Roman"/>
          <w:color w:val="auto"/>
          <w:sz w:val="24"/>
          <w:highlight w:val="none"/>
          <w:lang w:val="en-US" w:eastAsia="zh-CN"/>
        </w:rPr>
        <w:t xml:space="preserve">流动性特细砂混凝土 flowing </w:t>
      </w:r>
      <w:r>
        <w:rPr>
          <w:rFonts w:hint="eastAsia" w:eastAsia="宋体" w:cs="Times New Roman"/>
          <w:color w:val="auto"/>
          <w:sz w:val="24"/>
          <w:highlight w:val="none"/>
          <w:lang w:val="en-US" w:eastAsia="zh-CN"/>
        </w:rPr>
        <w:t>super fine sand concrete</w:t>
      </w:r>
    </w:p>
    <w:p>
      <w:pPr>
        <w:spacing w:line="360" w:lineRule="auto"/>
        <w:ind w:firstLine="480"/>
        <w:rPr>
          <w:rFonts w:hint="eastAsia" w:cs="Times New Roman"/>
          <w:color w:val="auto"/>
          <w:sz w:val="24"/>
          <w:highlight w:val="none"/>
          <w:lang w:val="en-US" w:eastAsia="zh-CN"/>
        </w:rPr>
      </w:pPr>
      <w:r>
        <w:rPr>
          <w:rFonts w:hint="eastAsia" w:cs="Times New Roman"/>
          <w:color w:val="auto"/>
          <w:sz w:val="24"/>
          <w:highlight w:val="none"/>
          <w:lang w:val="en-US" w:eastAsia="zh-CN"/>
        </w:rPr>
        <w:t>拌合物坍落度为100mm-150mm的特细砂混凝土。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8  </w:t>
      </w:r>
      <w:r>
        <w:rPr>
          <w:rFonts w:hint="eastAsia" w:cs="Times New Roman"/>
          <w:color w:val="auto"/>
          <w:sz w:val="24"/>
          <w:highlight w:val="none"/>
          <w:lang w:val="en-US" w:eastAsia="zh-CN"/>
        </w:rPr>
        <w:t xml:space="preserve">大流动性特细砂混凝土 high flowing </w:t>
      </w:r>
      <w:r>
        <w:rPr>
          <w:rFonts w:hint="eastAsia" w:eastAsia="宋体" w:cs="Times New Roman"/>
          <w:color w:val="auto"/>
          <w:sz w:val="24"/>
          <w:highlight w:val="none"/>
          <w:lang w:val="en-US" w:eastAsia="zh-CN"/>
        </w:rPr>
        <w:t>super fine sand concrete</w:t>
      </w:r>
    </w:p>
    <w:p>
      <w:pPr>
        <w:spacing w:line="360" w:lineRule="auto"/>
        <w:ind w:firstLine="480"/>
        <w:rPr>
          <w:rFonts w:hint="eastAsia" w:eastAsia="宋体" w:cs="Times New Roman"/>
          <w:color w:val="auto"/>
          <w:sz w:val="24"/>
          <w:highlight w:val="none"/>
          <w:lang w:val="en-US" w:eastAsia="zh-CN"/>
        </w:rPr>
      </w:pPr>
      <w:r>
        <w:rPr>
          <w:rFonts w:hint="eastAsia" w:cs="Times New Roman"/>
          <w:color w:val="auto"/>
          <w:sz w:val="24"/>
          <w:highlight w:val="none"/>
          <w:lang w:val="en-US" w:eastAsia="zh-CN"/>
        </w:rPr>
        <w:t>拌合物坍落度不低于160mm的特细砂混凝土。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b/>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9  </w:t>
      </w:r>
      <w:r>
        <w:rPr>
          <w:rFonts w:hint="eastAsia"/>
          <w:bCs/>
          <w:color w:val="auto"/>
          <w:sz w:val="24"/>
          <w:lang w:eastAsia="zh-CN"/>
        </w:rPr>
        <w:t>泵送混凝土</w:t>
      </w:r>
      <w:r>
        <w:rPr>
          <w:rFonts w:hint="eastAsia"/>
          <w:bCs/>
          <w:color w:val="auto"/>
          <w:sz w:val="24"/>
          <w:lang w:val="en-US" w:eastAsia="zh-CN"/>
        </w:rPr>
        <w:t xml:space="preserve"> </w:t>
      </w:r>
      <w:r>
        <w:rPr>
          <w:rFonts w:hint="eastAsia" w:eastAsia="宋体" w:cs="Times New Roman"/>
          <w:color w:val="auto"/>
          <w:sz w:val="24"/>
          <w:highlight w:val="none"/>
          <w:lang w:val="en-US" w:eastAsia="zh-CN"/>
        </w:rPr>
        <w:t>pump concrete</w:t>
      </w:r>
    </w:p>
    <w:p>
      <w:pPr>
        <w:spacing w:line="360" w:lineRule="auto"/>
        <w:ind w:firstLine="480"/>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可在施工现场通过压力泵及输送管道进行浇筑的混凝土。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eastAsia="宋体"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10  </w:t>
      </w:r>
      <w:r>
        <w:rPr>
          <w:rFonts w:hint="eastAsia" w:eastAsia="宋体" w:cs="Times New Roman"/>
          <w:color w:val="auto"/>
          <w:sz w:val="24"/>
          <w:highlight w:val="none"/>
          <w:lang w:val="en-US" w:eastAsia="zh-CN"/>
        </w:rPr>
        <w:t>出厂检验</w:t>
      </w:r>
      <w:r>
        <w:rPr>
          <w:rFonts w:hint="eastAsia" w:cs="Times New Roman"/>
          <w:color w:val="auto"/>
          <w:sz w:val="24"/>
          <w:highlight w:val="none"/>
          <w:lang w:val="en-US" w:eastAsia="zh-CN"/>
        </w:rPr>
        <w:t xml:space="preserve"> inspection at manufacturer</w:t>
      </w:r>
    </w:p>
    <w:p>
      <w:pPr>
        <w:spacing w:line="360" w:lineRule="auto"/>
        <w:ind w:firstLine="480"/>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在特细砂混凝土出厂前混凝土生产企业对质量进行的检验。</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default" w:eastAsia="宋体" w:cs="Times New Roman"/>
          <w:color w:val="auto"/>
          <w:sz w:val="24"/>
          <w:highlight w:val="none"/>
          <w:lang w:val="en-US" w:eastAsia="zh-CN"/>
        </w:rPr>
      </w:pPr>
      <w:r>
        <w:rPr>
          <w:b/>
          <w:color w:val="auto"/>
          <w:sz w:val="24"/>
          <w:highlight w:val="none"/>
        </w:rPr>
        <w:t>2.</w:t>
      </w:r>
      <w:r>
        <w:rPr>
          <w:rFonts w:hint="eastAsia"/>
          <w:b/>
          <w:color w:val="auto"/>
          <w:sz w:val="24"/>
          <w:highlight w:val="none"/>
          <w:lang w:val="en-US" w:eastAsia="zh-CN"/>
        </w:rPr>
        <w:t>1</w:t>
      </w:r>
      <w:r>
        <w:rPr>
          <w:b/>
          <w:color w:val="auto"/>
          <w:sz w:val="24"/>
          <w:highlight w:val="none"/>
        </w:rPr>
        <w:t>.</w:t>
      </w:r>
      <w:r>
        <w:rPr>
          <w:rFonts w:hint="eastAsia"/>
          <w:b/>
          <w:color w:val="auto"/>
          <w:sz w:val="24"/>
          <w:highlight w:val="none"/>
          <w:lang w:val="en-US" w:eastAsia="zh-CN"/>
        </w:rPr>
        <w:t xml:space="preserve">11  </w:t>
      </w:r>
      <w:r>
        <w:rPr>
          <w:rFonts w:hint="eastAsia" w:eastAsia="宋体" w:cs="Times New Roman"/>
          <w:color w:val="auto"/>
          <w:sz w:val="24"/>
          <w:highlight w:val="none"/>
          <w:lang w:val="en-US" w:eastAsia="zh-CN"/>
        </w:rPr>
        <w:t>交货检验</w:t>
      </w:r>
      <w:r>
        <w:rPr>
          <w:rFonts w:hint="eastAsia" w:cs="Times New Roman"/>
          <w:color w:val="auto"/>
          <w:sz w:val="24"/>
          <w:highlight w:val="none"/>
          <w:lang w:val="en-US" w:eastAsia="zh-CN"/>
        </w:rPr>
        <w:t xml:space="preserve"> inspection at delivery place</w:t>
      </w:r>
    </w:p>
    <w:p>
      <w:pPr>
        <w:spacing w:line="360" w:lineRule="auto"/>
        <w:ind w:firstLine="480" w:firstLineChars="200"/>
        <w:rPr>
          <w:rFonts w:hint="eastAsia" w:ascii="宋体" w:hAnsi="宋体" w:cs="宋体"/>
          <w:color w:val="auto"/>
          <w:sz w:val="24"/>
        </w:rPr>
        <w:sectPr>
          <w:pgSz w:w="11906" w:h="16838"/>
          <w:pgMar w:top="1440" w:right="1800" w:bottom="1440" w:left="1800" w:header="851" w:footer="992" w:gutter="0"/>
          <w:pgNumType w:fmt="decimal"/>
          <w:cols w:space="720" w:num="1"/>
          <w:docGrid w:type="lines" w:linePitch="312" w:charSpace="0"/>
        </w:sectPr>
      </w:pPr>
      <w:r>
        <w:rPr>
          <w:rFonts w:hint="eastAsia" w:eastAsia="宋体" w:cs="Times New Roman"/>
          <w:color w:val="auto"/>
          <w:sz w:val="24"/>
          <w:highlight w:val="none"/>
          <w:lang w:val="en-US" w:eastAsia="zh-CN"/>
        </w:rPr>
        <w:t>混凝土需求方在交货地点对特细砂混凝土质量进行的检验。</w:t>
      </w:r>
    </w:p>
    <w:p>
      <w:pPr>
        <w:pStyle w:val="3"/>
        <w:keepNext/>
        <w:keepLines/>
        <w:pageBreakBefore w:val="0"/>
        <w:widowControl w:val="0"/>
        <w:kinsoku/>
        <w:wordWrap/>
        <w:overflowPunct/>
        <w:topLinePunct w:val="0"/>
        <w:autoSpaceDE/>
        <w:autoSpaceDN/>
        <w:bidi w:val="0"/>
        <w:adjustRightInd/>
        <w:snapToGrid/>
        <w:spacing w:after="100"/>
        <w:jc w:val="center"/>
        <w:textAlignment w:val="auto"/>
        <w:outlineLvl w:val="1"/>
        <w:rPr>
          <w:rFonts w:hint="eastAsia"/>
          <w:color w:val="auto"/>
        </w:rPr>
      </w:pPr>
      <w:bookmarkStart w:id="19" w:name="_Toc27513"/>
      <w:bookmarkStart w:id="20" w:name="_Toc23077"/>
      <w:bookmarkStart w:id="21" w:name="_Toc5128"/>
      <w:bookmarkStart w:id="22" w:name="_Toc17350"/>
      <w:bookmarkStart w:id="23" w:name="_Toc1203"/>
      <w:bookmarkStart w:id="24" w:name="_Toc7146"/>
      <w:bookmarkStart w:id="25" w:name="_Toc32249"/>
      <w:bookmarkStart w:id="26" w:name="_Toc4173"/>
      <w:bookmarkStart w:id="27" w:name="_Toc30000"/>
      <w:bookmarkStart w:id="28" w:name="_Toc15581"/>
      <w:r>
        <w:rPr>
          <w:color w:val="auto"/>
        </w:rPr>
        <w:t>2</w:t>
      </w:r>
      <w:r>
        <w:rPr>
          <w:rFonts w:hint="eastAsia"/>
          <w:color w:val="auto"/>
        </w:rPr>
        <w:t>.2</w:t>
      </w:r>
      <w:r>
        <w:rPr>
          <w:color w:val="auto"/>
        </w:rPr>
        <w:t xml:space="preserve">  </w:t>
      </w:r>
      <w:r>
        <w:rPr>
          <w:rFonts w:hint="eastAsia"/>
          <w:color w:val="auto"/>
        </w:rPr>
        <w:t>符号</w:t>
      </w:r>
      <w:bookmarkEnd w:id="19"/>
      <w:bookmarkEnd w:id="20"/>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b w:val="0"/>
          <w:bCs w:val="0"/>
          <w:color w:val="auto"/>
          <w:sz w:val="24"/>
          <w:vertAlign w:val="baseline"/>
          <w:lang w:eastAsia="zh-CN"/>
        </w:rPr>
      </w:pPr>
      <w:bookmarkStart w:id="29" w:name="_Toc15090"/>
      <w:bookmarkStart w:id="30" w:name="_Toc1076"/>
      <w:bookmarkStart w:id="31" w:name="_Toc18340"/>
      <w:bookmarkStart w:id="32" w:name="_Toc9174"/>
      <w:bookmarkStart w:id="33" w:name="_Toc3111"/>
      <w:r>
        <w:rPr>
          <w:rFonts w:hint="eastAsia" w:ascii="宋体" w:hAnsi="宋体" w:eastAsia="宋体" w:cs="宋体"/>
          <w:b w:val="0"/>
          <w:bCs w:val="0"/>
          <w:color w:val="auto"/>
          <w:sz w:val="28"/>
          <w:szCs w:val="21"/>
          <w:vertAlign w:val="baseline"/>
          <w:lang w:eastAsia="zh-CN"/>
        </w:rPr>
        <w:t>μ</w:t>
      </w:r>
      <w:r>
        <w:rPr>
          <w:rFonts w:hint="eastAsia" w:ascii="宋体" w:hAnsi="宋体" w:cs="宋体"/>
          <w:b w:val="0"/>
          <w:bCs w:val="0"/>
          <w:color w:val="auto"/>
          <w:sz w:val="28"/>
          <w:szCs w:val="21"/>
          <w:vertAlign w:val="subscript"/>
          <w:lang w:val="en-US" w:eastAsia="zh-CN"/>
        </w:rPr>
        <w:t xml:space="preserve">f     </w:t>
      </w:r>
      <w:r>
        <w:rPr>
          <w:b w:val="0"/>
          <w:bCs w:val="0"/>
          <w:color w:val="auto"/>
          <w:sz w:val="24"/>
        </w:rPr>
        <w:t>——</w:t>
      </w:r>
      <w:r>
        <w:rPr>
          <w:rFonts w:hint="eastAsia"/>
          <w:bCs/>
          <w:color w:val="auto"/>
          <w:sz w:val="24"/>
          <w:vertAlign w:val="baseline"/>
          <w:lang w:val="en-US" w:eastAsia="zh-CN"/>
        </w:rPr>
        <w:t xml:space="preserve"> </w:t>
      </w:r>
      <w:r>
        <w:rPr>
          <w:rFonts w:hint="eastAsia"/>
          <w:b w:val="0"/>
          <w:bCs w:val="0"/>
          <w:color w:val="auto"/>
          <w:sz w:val="24"/>
          <w:vertAlign w:val="baseline"/>
          <w:lang w:eastAsia="zh-CN"/>
        </w:rPr>
        <w:t>细度模数；</w:t>
      </w:r>
      <w:bookmarkEnd w:id="29"/>
      <w:bookmarkEnd w:id="30"/>
      <w:bookmarkEnd w:id="31"/>
      <w:bookmarkEnd w:id="32"/>
      <w:bookmarkEnd w:id="33"/>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color w:val="auto"/>
          <w:sz w:val="24"/>
        </w:rPr>
      </w:pPr>
      <w:bookmarkStart w:id="34" w:name="_Toc24961"/>
      <w:bookmarkStart w:id="35" w:name="_Toc687"/>
      <w:bookmarkStart w:id="36" w:name="_Toc13507"/>
      <w:bookmarkStart w:id="37" w:name="_Toc2969"/>
      <w:bookmarkStart w:id="38" w:name="_Toc11202"/>
      <w:r>
        <w:rPr>
          <w:b w:val="0"/>
          <w:bCs w:val="0"/>
          <w:color w:val="auto"/>
          <w:sz w:val="28"/>
          <w:szCs w:val="28"/>
        </w:rPr>
        <w:t>ƒ</w:t>
      </w:r>
      <w:r>
        <w:rPr>
          <w:b w:val="0"/>
          <w:bCs w:val="0"/>
          <w:color w:val="auto"/>
          <w:sz w:val="28"/>
          <w:szCs w:val="28"/>
          <w:vertAlign w:val="subscript"/>
        </w:rPr>
        <w:t>cu,0</w:t>
      </w:r>
      <w:r>
        <w:rPr>
          <w:rFonts w:hint="eastAsia"/>
          <w:b w:val="0"/>
          <w:bCs w:val="0"/>
          <w:color w:val="auto"/>
          <w:sz w:val="28"/>
          <w:szCs w:val="28"/>
          <w:vertAlign w:val="subscript"/>
          <w:lang w:val="en-US" w:eastAsia="zh-CN"/>
        </w:rPr>
        <w:t xml:space="preserve">   </w:t>
      </w:r>
      <w:r>
        <w:rPr>
          <w:b w:val="0"/>
          <w:bCs w:val="0"/>
          <w:color w:val="auto"/>
          <w:sz w:val="24"/>
        </w:rPr>
        <w:t>——</w:t>
      </w:r>
      <w:r>
        <w:rPr>
          <w:rFonts w:hint="eastAsia"/>
          <w:b w:val="0"/>
          <w:bCs w:val="0"/>
          <w:color w:val="auto"/>
          <w:sz w:val="24"/>
          <w:lang w:val="en-US" w:eastAsia="zh-CN"/>
        </w:rPr>
        <w:t xml:space="preserve"> </w:t>
      </w:r>
      <w:r>
        <w:rPr>
          <w:rFonts w:hint="eastAsia"/>
          <w:b w:val="0"/>
          <w:bCs w:val="0"/>
          <w:color w:val="auto"/>
          <w:sz w:val="24"/>
        </w:rPr>
        <w:t>特细砂混凝土配制强度（</w:t>
      </w:r>
      <w:r>
        <w:rPr>
          <w:b w:val="0"/>
          <w:bCs w:val="0"/>
          <w:color w:val="auto"/>
          <w:sz w:val="24"/>
        </w:rPr>
        <w:t>MPa</w:t>
      </w:r>
      <w:r>
        <w:rPr>
          <w:rFonts w:hint="eastAsia"/>
          <w:b w:val="0"/>
          <w:bCs w:val="0"/>
          <w:color w:val="auto"/>
          <w:sz w:val="24"/>
        </w:rPr>
        <w:t>）</w:t>
      </w:r>
      <w:r>
        <w:rPr>
          <w:rFonts w:hint="eastAsia"/>
          <w:color w:val="auto"/>
          <w:sz w:val="24"/>
        </w:rPr>
        <w:t>；</w:t>
      </w:r>
      <w:bookmarkEnd w:id="34"/>
      <w:bookmarkEnd w:id="35"/>
      <w:bookmarkEnd w:id="36"/>
      <w:bookmarkEnd w:id="37"/>
      <w:bookmarkEnd w:id="38"/>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4"/>
        </w:rPr>
      </w:pPr>
      <w:r>
        <w:rPr>
          <w:b w:val="0"/>
          <w:bCs w:val="0"/>
          <w:color w:val="auto"/>
          <w:sz w:val="28"/>
          <w:szCs w:val="28"/>
        </w:rPr>
        <w:t>ƒ</w:t>
      </w:r>
      <w:r>
        <w:rPr>
          <w:b w:val="0"/>
          <w:bCs w:val="0"/>
          <w:color w:val="auto"/>
          <w:sz w:val="28"/>
          <w:szCs w:val="28"/>
          <w:vertAlign w:val="subscript"/>
        </w:rPr>
        <w:t>cu,k</w:t>
      </w:r>
      <w:r>
        <w:rPr>
          <w:rFonts w:hint="eastAsia"/>
          <w:b w:val="0"/>
          <w:bCs w:val="0"/>
          <w:color w:val="auto"/>
          <w:sz w:val="28"/>
          <w:szCs w:val="28"/>
          <w:vertAlign w:val="subscript"/>
          <w:lang w:val="en-US" w:eastAsia="zh-CN"/>
        </w:rPr>
        <w:t xml:space="preserve"> </w:t>
      </w:r>
      <w:r>
        <w:rPr>
          <w:rFonts w:hint="eastAsia"/>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混凝土立方体抗压强度标准值（</w:t>
      </w:r>
      <w:r>
        <w:rPr>
          <w:color w:val="auto"/>
          <w:sz w:val="24"/>
        </w:rPr>
        <w:t>MPa</w:t>
      </w:r>
      <w:r>
        <w:rPr>
          <w:rFonts w:hint="eastAsia"/>
          <w:color w:val="auto"/>
          <w:sz w:val="24"/>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4"/>
          <w:lang w:eastAsia="zh-CN"/>
        </w:rPr>
      </w:pPr>
      <w:r>
        <w:rPr>
          <w:b w:val="0"/>
          <w:bCs w:val="0"/>
          <w:color w:val="auto"/>
          <w:sz w:val="28"/>
          <w:szCs w:val="28"/>
        </w:rPr>
        <w:t>ƒ</w:t>
      </w:r>
      <w:r>
        <w:rPr>
          <w:b w:val="0"/>
          <w:bCs w:val="0"/>
          <w:color w:val="auto"/>
          <w:sz w:val="28"/>
          <w:szCs w:val="28"/>
          <w:vertAlign w:val="subscript"/>
        </w:rPr>
        <w:t>cu,i</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第</w:t>
      </w:r>
      <w:r>
        <w:rPr>
          <w:color w:val="auto"/>
          <w:sz w:val="24"/>
        </w:rPr>
        <w:t>i</w:t>
      </w:r>
      <w:r>
        <w:rPr>
          <w:rFonts w:hint="eastAsia"/>
          <w:color w:val="auto"/>
          <w:sz w:val="24"/>
        </w:rPr>
        <w:t>组的试件强度</w:t>
      </w:r>
      <w:r>
        <w:rPr>
          <w:rFonts w:hint="eastAsia"/>
          <w:color w:val="auto"/>
          <w:sz w:val="24"/>
          <w:lang w:eastAsia="zh-CN"/>
        </w:rPr>
        <w:t>（</w:t>
      </w:r>
      <w:r>
        <w:rPr>
          <w:color w:val="auto"/>
          <w:sz w:val="24"/>
        </w:rPr>
        <w:t>MPa</w:t>
      </w:r>
      <w:r>
        <w:rPr>
          <w:rFonts w:hint="eastAsia"/>
          <w:color w:val="auto"/>
          <w:sz w:val="24"/>
          <w:lang w:eastAsia="zh-CN"/>
        </w:rPr>
        <w:t>）</w:t>
      </w:r>
      <w:r>
        <w:rPr>
          <w:color w:val="auto"/>
          <w:sz w:val="24"/>
        </w:rPr>
        <w:t xml:space="preserve">  </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color w:val="auto"/>
          <w:sz w:val="24"/>
        </w:rPr>
      </w:pPr>
      <w:r>
        <w:rPr>
          <w:b w:val="0"/>
          <w:bCs w:val="0"/>
          <w:color w:val="auto"/>
          <w:sz w:val="28"/>
          <w:szCs w:val="28"/>
        </w:rPr>
        <w:t>ƒ</w:t>
      </w:r>
      <w:r>
        <w:rPr>
          <w:rFonts w:hint="eastAsia"/>
          <w:b w:val="0"/>
          <w:bCs w:val="0"/>
          <w:color w:val="auto"/>
          <w:sz w:val="28"/>
          <w:szCs w:val="28"/>
          <w:vertAlign w:val="subscript"/>
          <w:lang w:val="en-US" w:eastAsia="zh-CN"/>
        </w:rPr>
        <w:t xml:space="preserve">b    </w:t>
      </w:r>
      <w:r>
        <w:rPr>
          <w:color w:val="auto"/>
          <w:sz w:val="24"/>
        </w:rPr>
        <w:fldChar w:fldCharType="begin"/>
      </w:r>
      <w:r>
        <w:rPr>
          <w:color w:val="auto"/>
          <w:sz w:val="24"/>
        </w:rPr>
        <w:instrText xml:space="preserve"> QUOTE </w:instrText>
      </w:r>
      <w:r>
        <w:rPr>
          <w:rFonts w:hint="eastAsia"/>
          <w:color w:val="auto"/>
          <w:sz w:val="24"/>
        </w:rPr>
        <w:pict>
          <v:shape id="_x0000_i1025" o:spt="75" type="#_x0000_t75" style="height:15pt;width:14.4pt;" filled="f" o:preferrelative="t" stroked="f" coordsize="21600,21600" equationxml="&lt;">
            <v:path/>
            <v:fill on="f" focussize="0,0"/>
            <v:stroke on="f"/>
            <v:imagedata r:id="rId15" chromakey="#FFFFFF" o:title=""/>
            <o:lock v:ext="edit" aspectratio="t"/>
            <w10:wrap type="none"/>
            <w10:anchorlock/>
          </v:shape>
        </w:pict>
      </w:r>
      <w:r>
        <w:rPr>
          <w:color w:val="auto"/>
          <w:sz w:val="24"/>
        </w:rPr>
        <w:fldChar w:fldCharType="separate"/>
      </w:r>
      <w:r>
        <w:rPr>
          <w:color w:val="auto"/>
          <w:sz w:val="24"/>
        </w:rPr>
        <w:fldChar w:fldCharType="end"/>
      </w:r>
      <w:r>
        <w:rPr>
          <w:color w:val="auto"/>
          <w:sz w:val="24"/>
        </w:rPr>
        <w:t>——</w:t>
      </w:r>
      <w:r>
        <w:rPr>
          <w:rFonts w:hint="eastAsia"/>
          <w:color w:val="auto"/>
          <w:sz w:val="24"/>
          <w:lang w:val="en-US" w:eastAsia="zh-CN"/>
        </w:rPr>
        <w:t xml:space="preserve"> </w:t>
      </w:r>
      <w:r>
        <w:rPr>
          <w:rFonts w:hint="eastAsia"/>
          <w:color w:val="auto"/>
          <w:sz w:val="24"/>
        </w:rPr>
        <w:t>胶凝材料</w:t>
      </w:r>
      <w:r>
        <w:rPr>
          <w:color w:val="auto"/>
          <w:sz w:val="24"/>
        </w:rPr>
        <w:t>28d</w:t>
      </w:r>
      <w:r>
        <w:rPr>
          <w:rFonts w:hint="eastAsia"/>
          <w:color w:val="auto"/>
          <w:sz w:val="24"/>
        </w:rPr>
        <w:t>胶砂抗压强度</w:t>
      </w:r>
      <w:r>
        <w:rPr>
          <w:rFonts w:hint="eastAsia"/>
          <w:color w:val="auto"/>
          <w:sz w:val="24"/>
          <w:lang w:eastAsia="zh-CN"/>
        </w:rPr>
        <w:t>（</w:t>
      </w:r>
      <w:r>
        <w:rPr>
          <w:color w:val="auto"/>
          <w:sz w:val="24"/>
        </w:rPr>
        <w:t>MPa</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textAlignment w:val="auto"/>
        <w:rPr>
          <w:rFonts w:hint="eastAsia" w:eastAsia="宋体"/>
          <w:color w:val="auto"/>
          <w:sz w:val="24"/>
          <w:lang w:eastAsia="zh-CN"/>
        </w:rPr>
      </w:pPr>
      <w:r>
        <w:rPr>
          <w:color w:val="auto"/>
          <w:sz w:val="24"/>
        </w:rPr>
        <w:t xml:space="preserve"> </w:t>
      </w:r>
      <w:r>
        <w:rPr>
          <w:rFonts w:hint="eastAsia"/>
          <w:color w:val="auto"/>
          <w:sz w:val="24"/>
          <w:lang w:val="en-US" w:eastAsia="zh-CN"/>
        </w:rPr>
        <w:t xml:space="preserve"> </w:t>
      </w:r>
      <w:r>
        <w:rPr>
          <w:rFonts w:hint="eastAsia"/>
          <w:b/>
          <w:bCs/>
          <w:color w:val="auto"/>
          <w:sz w:val="24"/>
          <w:lang w:val="en-US" w:eastAsia="zh-CN"/>
        </w:rPr>
        <w:t xml:space="preserve">   </w:t>
      </w:r>
      <w:r>
        <w:rPr>
          <w:b w:val="0"/>
          <w:bCs w:val="0"/>
          <w:color w:val="auto"/>
          <w:sz w:val="28"/>
          <w:szCs w:val="28"/>
        </w:rPr>
        <w:t>ƒ</w:t>
      </w:r>
      <w:r>
        <w:rPr>
          <w:rFonts w:hint="eastAsia"/>
          <w:b w:val="0"/>
          <w:bCs w:val="0"/>
          <w:color w:val="auto"/>
          <w:sz w:val="28"/>
          <w:szCs w:val="28"/>
          <w:vertAlign w:val="subscript"/>
          <w:lang w:val="en-US" w:eastAsia="zh-CN"/>
        </w:rPr>
        <w:t>ce</w:t>
      </w:r>
      <w:r>
        <w:rPr>
          <w:color w:val="auto"/>
          <w:sz w:val="24"/>
        </w:rPr>
        <w:fldChar w:fldCharType="begin"/>
      </w:r>
      <w:r>
        <w:rPr>
          <w:color w:val="auto"/>
          <w:sz w:val="24"/>
        </w:rPr>
        <w:instrText xml:space="preserve"> QUOTE </w:instrText>
      </w:r>
      <w:r>
        <w:rPr>
          <w:rFonts w:hint="eastAsia"/>
          <w:color w:val="auto"/>
          <w:sz w:val="24"/>
        </w:rPr>
        <w:pict>
          <v:shape id="_x0000_i1026" o:spt="75" type="#_x0000_t75" style="height:16.5pt;width:26.25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74849&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A5E71&quot;/&gt;&lt;wsp:rsid wsp:val=&quot;004F47F6&quot;/&gt;&lt;wsp:rsid wsp:val=&quot;005153E7&quot;/&gt;&lt;wsp:rsid wsp:val=&quot;00551E0D&quot;/&gt;&lt;wsp:rsid wsp:val=&quot;005B79BC&quot;/&gt;&lt;wsp:rsid wsp:val=&quot;005F153A&quot;/&gt;&lt;wsp:rsid wsp:val=&quot;0065647E&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B901BB&quot;/&gt;&lt;wsp:rsid wsp:val=&quot;00BC66AD&quot;/&gt;&lt;wsp:rsid wsp:val=&quot;00BD39FD&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174849&quot;&gt;&lt;m:oMathPara&gt;&lt;m:oMath&gt;&lt;m:r&gt;&lt;w:rPr&gt;&lt;w:rFonts w:ascii=&quot;Cambria Math&quot; w:h-ansi=&quot;Cambria Math&quot;/&gt;&lt;wx:font wx:val=&quot;Cambria Math&quot;/&gt;&lt;w:i/&gt;&lt;w:sz w:val=&quot;28&quot;/&gt;&lt;w:sz-cs w:val=&quot;28&quot;/&gt;&lt;/w:rPr&gt;&lt;m:t&gt;fce&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6" chromakey="#FFFFFF" o:title=""/>
            <o:lock v:ext="edit" aspectratio="t"/>
            <w10:wrap type="none"/>
            <w10:anchorlock/>
          </v:shape>
        </w:pict>
      </w:r>
      <w:r>
        <w:rPr>
          <w:color w:val="auto"/>
          <w:sz w:val="24"/>
        </w:rPr>
        <w:instrText xml:space="preserve"> </w:instrText>
      </w:r>
      <w:r>
        <w:rPr>
          <w:color w:val="auto"/>
          <w:sz w:val="24"/>
        </w:rPr>
        <w:fldChar w:fldCharType="separate"/>
      </w:r>
      <w:r>
        <w:rPr>
          <w:color w:val="auto"/>
          <w:sz w:val="24"/>
        </w:rPr>
        <w:fldChar w:fldCharType="end"/>
      </w:r>
      <w:r>
        <w:rPr>
          <w:rFonts w:hint="eastAsia"/>
          <w:color w:val="auto"/>
          <w:sz w:val="24"/>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水泥</w:t>
      </w:r>
      <w:r>
        <w:rPr>
          <w:color w:val="auto"/>
          <w:sz w:val="24"/>
        </w:rPr>
        <w:t>28d</w:t>
      </w:r>
      <w:r>
        <w:rPr>
          <w:rFonts w:hint="eastAsia"/>
          <w:color w:val="auto"/>
          <w:sz w:val="24"/>
        </w:rPr>
        <w:t>胶砂抗压强度（</w:t>
      </w:r>
      <w:r>
        <w:rPr>
          <w:color w:val="auto"/>
          <w:sz w:val="24"/>
        </w:rPr>
        <w:t>MPa</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4"/>
          <w:lang w:eastAsia="zh-CN"/>
        </w:rPr>
      </w:pPr>
      <w:r>
        <w:rPr>
          <w:b w:val="0"/>
          <w:bCs w:val="0"/>
          <w:color w:val="auto"/>
          <w:sz w:val="28"/>
          <w:szCs w:val="28"/>
        </w:rPr>
        <w:t>ƒ</w:t>
      </w:r>
      <w:r>
        <w:rPr>
          <w:rFonts w:hint="eastAsia"/>
          <w:b w:val="0"/>
          <w:bCs w:val="0"/>
          <w:color w:val="auto"/>
          <w:sz w:val="28"/>
          <w:szCs w:val="28"/>
          <w:vertAlign w:val="subscript"/>
          <w:lang w:val="en-US" w:eastAsia="zh-CN"/>
        </w:rPr>
        <w:t xml:space="preserve">ce,g  </w:t>
      </w:r>
      <w:r>
        <w:rPr>
          <w:color w:val="auto"/>
          <w:sz w:val="24"/>
        </w:rPr>
        <w:fldChar w:fldCharType="begin"/>
      </w:r>
      <w:r>
        <w:rPr>
          <w:color w:val="auto"/>
          <w:sz w:val="24"/>
        </w:rPr>
        <w:instrText xml:space="preserve"> QUOTE </w:instrText>
      </w:r>
      <w:r>
        <w:rPr>
          <w:rFonts w:hint="eastAsia"/>
          <w:color w:val="auto"/>
          <w:sz w:val="24"/>
        </w:rPr>
        <w:pict>
          <v:shape id="_x0000_i1027" o:spt="75" type="#_x0000_t75" style="height:16.5pt;width:38.25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84CD8&quot;/&gt;&lt;wsp:rsid wsp:val=&quot;004A5E71&quot;/&gt;&lt;wsp:rsid wsp:val=&quot;004F47F6&quot;/&gt;&lt;wsp:rsid wsp:val=&quot;005153E7&quot;/&gt;&lt;wsp:rsid wsp:val=&quot;00551E0D&quot;/&gt;&lt;wsp:rsid wsp:val=&quot;005B79BC&quot;/&gt;&lt;wsp:rsid wsp:val=&quot;005F153A&quot;/&gt;&lt;wsp:rsid wsp:val=&quot;0065647E&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B901BB&quot;/&gt;&lt;wsp:rsid wsp:val=&quot;00BC66AD&quot;/&gt;&lt;wsp:rsid wsp:val=&quot;00BD39FD&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484CD8&quot;&gt;&lt;m:oMathPara&gt;&lt;m:oMath&gt;&lt;m:r&gt;&lt;w:rPr&gt;&lt;w:rFonts w:ascii=&quot;Cambria Math&quot; w:h-ansi=&quot;Cambria Math&quot;/&gt;&lt;wx:font wx:val=&quot;Cambria Math&quot;/&gt;&lt;w:i/&gt;&lt;w:sz w:val=&quot;28&quot;/&gt;&lt;w:sz-cs w:val=&quot;28&quot;/&gt;&lt;/w:rPr&gt;&lt;m:t&gt;fce&lt;/m:t&gt;&lt;/m:r&gt;&lt;m:r&gt;&lt;w:rPr&gt;&lt;w:rFonts w:ascii=&quot;Cambria Math&quot; w:h-ansi=&quot;Cambria Math&quot; w:hint=&quot;fareast&quot;/&gt;&lt;w:i/&gt;&lt;w:spacing w:val=&quot;-20&quot;/&gt;&lt;w:w w:val=&quot;50&quot;/&gt;&lt;w:sz w:val=&quot;28&quot;/&gt;&lt;w:sz-cs w:val=&quot;28&quot;/&gt;&lt;/w:rPr&gt;&lt;m:t&gt;��">
            <v:path/>
            <v:fill on="f" focussize="0,0"/>
            <v:stroke on="f"/>
            <v:imagedata r:id="rId17" chromakey="#FFFFFF" o:title=""/>
            <o:lock v:ext="edit" aspectratio="t"/>
            <w10:wrap type="none"/>
            <w10:anchorlock/>
          </v:shape>
        </w:pict>
      </w:r>
      <w:r>
        <w:rPr>
          <w:color w:val="auto"/>
          <w:sz w:val="24"/>
        </w:rPr>
        <w:instrText xml:space="preserve"> </w:instrText>
      </w:r>
      <w:r>
        <w:rPr>
          <w:color w:val="auto"/>
          <w:sz w:val="24"/>
        </w:rPr>
        <w:fldChar w:fldCharType="separate"/>
      </w:r>
      <w:r>
        <w:rPr>
          <w:color w:val="auto"/>
          <w:sz w:val="24"/>
        </w:rPr>
        <w:fldChar w:fldCharType="end"/>
      </w:r>
      <w:r>
        <w:rPr>
          <w:color w:val="auto"/>
          <w:sz w:val="24"/>
        </w:rPr>
        <w:t>——</w:t>
      </w:r>
      <w:r>
        <w:rPr>
          <w:rFonts w:hint="eastAsia"/>
          <w:color w:val="auto"/>
          <w:sz w:val="24"/>
          <w:lang w:val="en-US" w:eastAsia="zh-CN"/>
        </w:rPr>
        <w:t xml:space="preserve"> </w:t>
      </w:r>
      <w:r>
        <w:rPr>
          <w:rFonts w:hint="eastAsia"/>
          <w:color w:val="auto"/>
          <w:sz w:val="24"/>
        </w:rPr>
        <w:t>水泥强度等级值</w:t>
      </w:r>
      <w:r>
        <w:rPr>
          <w:color w:val="auto"/>
          <w:sz w:val="24"/>
        </w:rPr>
        <w:t xml:space="preserve"> </w:t>
      </w:r>
      <w:r>
        <w:rPr>
          <w:rFonts w:hint="eastAsia"/>
          <w:color w:val="auto"/>
          <w:sz w:val="24"/>
        </w:rPr>
        <w:t>（</w:t>
      </w:r>
      <w:r>
        <w:rPr>
          <w:color w:val="auto"/>
          <w:sz w:val="24"/>
        </w:rPr>
        <w:t>MPa</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color w:val="auto"/>
          <w:sz w:val="24"/>
        </w:rPr>
      </w:pPr>
      <w:r>
        <w:rPr>
          <w:b w:val="0"/>
          <w:bCs w:val="0"/>
          <w:color w:val="auto"/>
          <w:sz w:val="28"/>
          <w:szCs w:val="28"/>
        </w:rPr>
        <w:t>m</w:t>
      </w:r>
      <w:r>
        <w:rPr>
          <w:b w:val="0"/>
          <w:bCs w:val="0"/>
          <w:color w:val="auto"/>
          <w:sz w:val="28"/>
          <w:szCs w:val="28"/>
          <w:vertAlign w:val="subscript"/>
        </w:rPr>
        <w:t>a0</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每立方米混凝土中外加剂用量（</w:t>
      </w:r>
      <w:r>
        <w:rPr>
          <w:color w:val="auto"/>
          <w:sz w:val="24"/>
        </w:rPr>
        <w:t>kg/m</w:t>
      </w:r>
      <w:r>
        <w:rPr>
          <w:color w:val="auto"/>
          <w:sz w:val="24"/>
          <w:vertAlign w:val="superscript"/>
        </w:rPr>
        <w:t>3</w:t>
      </w:r>
      <w:r>
        <w:rPr>
          <w:rFonts w:hint="eastAsia"/>
          <w:color w:val="auto"/>
          <w:sz w:val="24"/>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color w:val="auto"/>
          <w:sz w:val="24"/>
        </w:rPr>
      </w:pPr>
      <w:r>
        <w:rPr>
          <w:b w:val="0"/>
          <w:bCs w:val="0"/>
          <w:color w:val="auto"/>
          <w:sz w:val="28"/>
          <w:szCs w:val="28"/>
        </w:rPr>
        <w:t>m</w:t>
      </w:r>
      <w:r>
        <w:rPr>
          <w:b w:val="0"/>
          <w:bCs w:val="0"/>
          <w:color w:val="auto"/>
          <w:sz w:val="28"/>
          <w:szCs w:val="28"/>
          <w:vertAlign w:val="subscript"/>
        </w:rPr>
        <w:t>b0</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每立方混凝土中胶凝材料用量（</w:t>
      </w:r>
      <w:r>
        <w:rPr>
          <w:color w:val="auto"/>
          <w:sz w:val="24"/>
        </w:rPr>
        <w:t>kg/m</w:t>
      </w:r>
      <w:r>
        <w:rPr>
          <w:color w:val="auto"/>
          <w:sz w:val="24"/>
          <w:vertAlign w:val="superscript"/>
        </w:rPr>
        <w:t>3</w:t>
      </w:r>
      <w:r>
        <w:rPr>
          <w:rFonts w:hint="eastAsia"/>
          <w:color w:val="auto"/>
          <w:sz w:val="24"/>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color w:val="auto"/>
          <w:sz w:val="28"/>
          <w:szCs w:val="28"/>
        </w:rPr>
      </w:pPr>
      <w:r>
        <w:rPr>
          <w:b w:val="0"/>
          <w:bCs w:val="0"/>
          <w:color w:val="auto"/>
          <w:sz w:val="28"/>
          <w:szCs w:val="28"/>
        </w:rPr>
        <w:t>m</w:t>
      </w:r>
      <w:r>
        <w:rPr>
          <w:b w:val="0"/>
          <w:bCs w:val="0"/>
          <w:color w:val="auto"/>
          <w:sz w:val="28"/>
          <w:szCs w:val="28"/>
          <w:vertAlign w:val="subscript"/>
        </w:rPr>
        <w:t>f0</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每立方米混凝土</w:t>
      </w:r>
      <w:r>
        <w:rPr>
          <w:rFonts w:hint="eastAsia"/>
          <w:color w:val="auto"/>
          <w:sz w:val="24"/>
          <w:lang w:eastAsia="zh-CN"/>
        </w:rPr>
        <w:t>中</w:t>
      </w:r>
      <w:r>
        <w:rPr>
          <w:rFonts w:hint="eastAsia"/>
          <w:color w:val="auto"/>
          <w:sz w:val="24"/>
        </w:rPr>
        <w:t>矿物掺合料用量（</w:t>
      </w:r>
      <w:r>
        <w:rPr>
          <w:color w:val="auto"/>
          <w:sz w:val="24"/>
        </w:rPr>
        <w:t>kg/m</w:t>
      </w:r>
      <w:r>
        <w:rPr>
          <w:color w:val="auto"/>
          <w:sz w:val="24"/>
          <w:vertAlign w:val="superscript"/>
        </w:rPr>
        <w:t>3</w:t>
      </w:r>
      <w:r>
        <w:rPr>
          <w:rFonts w:hint="eastAsia"/>
          <w:color w:val="auto"/>
          <w:sz w:val="24"/>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color w:val="auto"/>
          <w:sz w:val="24"/>
        </w:rPr>
      </w:pPr>
      <w:r>
        <w:rPr>
          <w:b w:val="0"/>
          <w:bCs w:val="0"/>
          <w:color w:val="auto"/>
          <w:sz w:val="28"/>
          <w:szCs w:val="28"/>
        </w:rPr>
        <w:t>m</w:t>
      </w:r>
      <w:r>
        <w:rPr>
          <w:rFonts w:hint="eastAsia"/>
          <w:b w:val="0"/>
          <w:bCs w:val="0"/>
          <w:color w:val="auto"/>
          <w:sz w:val="28"/>
          <w:szCs w:val="28"/>
          <w:vertAlign w:val="subscript"/>
          <w:lang w:val="en-US" w:eastAsia="zh-CN"/>
        </w:rPr>
        <w:t>c</w:t>
      </w:r>
      <w:r>
        <w:rPr>
          <w:b w:val="0"/>
          <w:bCs w:val="0"/>
          <w:color w:val="auto"/>
          <w:sz w:val="28"/>
          <w:szCs w:val="28"/>
          <w:vertAlign w:val="subscript"/>
        </w:rPr>
        <w:t>0</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每立方米混凝土中</w:t>
      </w:r>
      <w:r>
        <w:rPr>
          <w:rFonts w:hint="eastAsia"/>
          <w:color w:val="auto"/>
          <w:sz w:val="24"/>
          <w:lang w:eastAsia="zh-CN"/>
        </w:rPr>
        <w:t>水泥</w:t>
      </w:r>
      <w:r>
        <w:rPr>
          <w:rFonts w:hint="eastAsia"/>
          <w:color w:val="auto"/>
          <w:sz w:val="24"/>
        </w:rPr>
        <w:t>用量（</w:t>
      </w:r>
      <w:r>
        <w:rPr>
          <w:color w:val="auto"/>
          <w:sz w:val="24"/>
        </w:rPr>
        <w:t>kg/m</w:t>
      </w:r>
      <w:r>
        <w:rPr>
          <w:color w:val="auto"/>
          <w:sz w:val="24"/>
          <w:vertAlign w:val="superscript"/>
        </w:rPr>
        <w:t>3</w:t>
      </w:r>
      <w:r>
        <w:rPr>
          <w:rFonts w:hint="eastAsia"/>
          <w:color w:val="auto"/>
          <w:sz w:val="24"/>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4"/>
        </w:rPr>
      </w:pPr>
      <w:r>
        <w:rPr>
          <w:b w:val="0"/>
          <w:bCs w:val="0"/>
          <w:color w:val="auto"/>
          <w:sz w:val="28"/>
          <w:szCs w:val="28"/>
        </w:rPr>
        <w:t>m</w:t>
      </w:r>
      <w:r>
        <w:rPr>
          <w:b w:val="0"/>
          <w:bCs w:val="0"/>
          <w:color w:val="auto"/>
          <w:sz w:val="28"/>
          <w:szCs w:val="28"/>
          <w:vertAlign w:val="subscript"/>
        </w:rPr>
        <w:t>w</w:t>
      </w:r>
      <w:r>
        <w:rPr>
          <w:rFonts w:hint="eastAsia"/>
          <w:b w:val="0"/>
          <w:bCs w:val="0"/>
          <w:color w:val="auto"/>
          <w:sz w:val="28"/>
          <w:szCs w:val="28"/>
          <w:vertAlign w:val="subscript"/>
          <w:lang w:val="en-US" w:eastAsia="zh-CN"/>
        </w:rPr>
        <w:t xml:space="preserve">0   </w:t>
      </w:r>
      <w:r>
        <w:rPr>
          <w:color w:val="auto"/>
          <w:sz w:val="24"/>
        </w:rPr>
        <w:t>——</w:t>
      </w:r>
      <w:r>
        <w:rPr>
          <w:rFonts w:hint="eastAsia"/>
          <w:color w:val="auto"/>
          <w:sz w:val="24"/>
          <w:lang w:val="en-US" w:eastAsia="zh-CN"/>
        </w:rPr>
        <w:t xml:space="preserve"> </w:t>
      </w:r>
      <w:r>
        <w:rPr>
          <w:rFonts w:hint="eastAsia"/>
          <w:color w:val="auto"/>
          <w:sz w:val="24"/>
        </w:rPr>
        <w:t>每立方米混凝土的用水量（</w:t>
      </w:r>
      <w:r>
        <w:rPr>
          <w:color w:val="auto"/>
          <w:sz w:val="24"/>
        </w:rPr>
        <w:t>kg/m</w:t>
      </w:r>
      <w:r>
        <w:rPr>
          <w:color w:val="auto"/>
          <w:sz w:val="24"/>
          <w:vertAlign w:val="superscript"/>
        </w:rPr>
        <w:t>3</w:t>
      </w:r>
      <w:r>
        <w:rPr>
          <w:rFonts w:hint="eastAsia"/>
          <w:color w:val="auto"/>
          <w:sz w:val="24"/>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宋体"/>
          <w:color w:val="auto"/>
          <w:sz w:val="24"/>
          <w:lang w:eastAsia="zh-CN"/>
        </w:rPr>
      </w:pPr>
      <w:r>
        <w:rPr>
          <w:b w:val="0"/>
          <w:bCs w:val="0"/>
          <w:color w:val="auto"/>
          <w:sz w:val="28"/>
          <w:szCs w:val="28"/>
        </w:rPr>
        <w:t>m</w:t>
      </w:r>
      <w:r>
        <w:rPr>
          <w:rFonts w:hint="eastAsia"/>
          <w:color w:val="auto"/>
          <w:sz w:val="28"/>
          <w:szCs w:val="28"/>
          <w:vertAlign w:val="subscript"/>
        </w:rPr>
        <w:t>’</w:t>
      </w:r>
      <w:r>
        <w:rPr>
          <w:b w:val="0"/>
          <w:bCs w:val="0"/>
          <w:color w:val="auto"/>
          <w:sz w:val="28"/>
          <w:szCs w:val="28"/>
          <w:vertAlign w:val="subscript"/>
        </w:rPr>
        <w:t>w</w:t>
      </w:r>
      <w:r>
        <w:rPr>
          <w:rFonts w:hint="eastAsia"/>
          <w:b w:val="0"/>
          <w:bCs w:val="0"/>
          <w:color w:val="auto"/>
          <w:sz w:val="28"/>
          <w:szCs w:val="28"/>
          <w:vertAlign w:val="subscript"/>
          <w:lang w:val="en-US" w:eastAsia="zh-CN"/>
        </w:rPr>
        <w:t xml:space="preserve">0  </w:t>
      </w:r>
      <w:r>
        <w:rPr>
          <w:color w:val="auto"/>
          <w:sz w:val="24"/>
        </w:rPr>
        <w:t>——</w:t>
      </w:r>
      <w:r>
        <w:rPr>
          <w:rFonts w:hint="eastAsia"/>
          <w:color w:val="auto"/>
          <w:sz w:val="24"/>
          <w:lang w:val="en-US" w:eastAsia="zh-CN"/>
        </w:rPr>
        <w:t xml:space="preserve"> </w:t>
      </w:r>
      <w:r>
        <w:rPr>
          <w:rFonts w:hint="eastAsia"/>
          <w:color w:val="auto"/>
          <w:sz w:val="24"/>
        </w:rPr>
        <w:t>未掺外加剂时推定的满足实际坍落度要求的每立方米混凝土用水量（</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720" w:firstLineChars="300"/>
        <w:textAlignment w:val="auto"/>
        <w:rPr>
          <w:color w:val="auto"/>
          <w:sz w:val="24"/>
        </w:rPr>
      </w:pPr>
      <w:r>
        <w:rPr>
          <w:b w:val="0"/>
          <w:bCs w:val="0"/>
          <w:color w:val="auto"/>
          <w:sz w:val="24"/>
        </w:rPr>
        <w:fldChar w:fldCharType="begin"/>
      </w:r>
      <w:r>
        <w:rPr>
          <w:b w:val="0"/>
          <w:bCs w:val="0"/>
          <w:color w:val="auto"/>
          <w:sz w:val="24"/>
        </w:rPr>
        <w:instrText xml:space="preserve"> QUOTE </w:instrText>
      </w:r>
      <w:r>
        <w:rPr>
          <w:rFonts w:hint="eastAsia"/>
          <w:b w:val="0"/>
          <w:bCs w:val="0"/>
          <w:color w:val="auto"/>
          <w:sz w:val="24"/>
        </w:rPr>
        <w:pict>
          <v:shape id="_x0000_i1028" o:spt="75" type="#_x0000_t75" style="height:16.5pt;width:30.75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A5E71&quot;/&gt;&lt;wsp:rsid wsp:val=&quot;004F47F6&quot;/&gt;&lt;wsp:rsid wsp:val=&quot;005153E7&quot;/&gt;&lt;wsp:rsid wsp:val=&quot;00551E0D&quot;/&gt;&lt;wsp:rsid wsp:val=&quot;005B79BC&quot;/&gt;&lt;wsp:rsid wsp:val=&quot;005F153A&quot;/&gt;&lt;wsp:rsid wsp:val=&quot;0065647E&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AA6C53&quot;/&gt;&lt;wsp:rsid wsp:val=&quot;00B901BB&quot;/&gt;&lt;wsp:rsid wsp:val=&quot;00BC66AD&quot;/&gt;&lt;wsp:rsid wsp:val=&quot;00BD39FD&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AA6C53&quot;&gt;&lt;m:oMathPara&gt;&lt;m:oMath&gt;&lt;m:r&gt;&lt;m:rPr&gt;&lt;m:sty m:val=&quot;p&quot;/&gt;&lt;/m:rPr&gt;&lt;w:rPr&gt;&lt;w:rFonts w:ascii=&quot;Cambria Math&quot; w:h-ansi=&quot;Cambria Math&quot;/&gt;&lt;wx:font wx:val=&quot;Cambria Math&quot;/&gt;&lt;w:kern w:val=&quot;0&quot;/&gt;&lt;w:sz w:val=&quot;28&quot;/&gt;&lt;w:sz-cs w:val=&quot;28&quot;/&gt;&lt;/w:rPr&gt;&lt;m:t&gt;m&lt;/m:t&gt;&lt;/m:r&gt;&lt;m:r&gt;&lt;m:rPr&gt;&lt;m:sty m:val=&quot;p&quot;/&gt;&lt;/m:rPr&gt;&lt;w:rPr&gt;&lt;w:rFonts w:ascii=&quot;Cambria Math&quot; w:h-ansi=&quot;Cambria Math&quot; w:hint=&quot;fareast&quot;/&gt;&lt;wx:font wx:val=&quot;Cambria Math&quot;/&gt;&lt;w:kern w:val=&quot;0&quot;/&gt;&lt;w:sz w:val=&quot;28&quot;/&gt;&lt;w:sz-cs w:val=&quot;28&quot;/&gt;&lt;/w:rPr&gt;&lt;m:t&gt;go&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8" chromakey="#FFFFFF" o:title=""/>
            <o:lock v:ext="edit" aspectratio="t"/>
            <w10:wrap type="none"/>
            <w10:anchorlock/>
          </v:shape>
        </w:pict>
      </w:r>
      <w:r>
        <w:rPr>
          <w:b w:val="0"/>
          <w:bCs w:val="0"/>
          <w:color w:val="auto"/>
          <w:sz w:val="24"/>
        </w:rPr>
        <w:instrText xml:space="preserve"> </w:instrText>
      </w:r>
      <w:r>
        <w:rPr>
          <w:b w:val="0"/>
          <w:bCs w:val="0"/>
          <w:color w:val="auto"/>
          <w:sz w:val="24"/>
        </w:rPr>
        <w:fldChar w:fldCharType="separate"/>
      </w:r>
      <w:r>
        <w:rPr>
          <w:b w:val="0"/>
          <w:bCs w:val="0"/>
          <w:color w:val="auto"/>
          <w:sz w:val="28"/>
          <w:szCs w:val="28"/>
        </w:rPr>
        <w:t>m</w:t>
      </w:r>
      <w:r>
        <w:rPr>
          <w:rFonts w:hint="eastAsia"/>
          <w:b w:val="0"/>
          <w:bCs w:val="0"/>
          <w:color w:val="auto"/>
          <w:sz w:val="28"/>
          <w:szCs w:val="28"/>
          <w:vertAlign w:val="subscript"/>
          <w:lang w:val="en-US" w:eastAsia="zh-CN"/>
        </w:rPr>
        <w:t>g0</w:t>
      </w:r>
      <w:r>
        <w:rPr>
          <w:b w:val="0"/>
          <w:bCs w:val="0"/>
          <w:color w:val="auto"/>
          <w:sz w:val="24"/>
        </w:rPr>
        <w:fldChar w:fldCharType="end"/>
      </w:r>
      <w:r>
        <w:rPr>
          <w:rFonts w:hint="eastAsia"/>
          <w:b w:val="0"/>
          <w:bCs w:val="0"/>
          <w:color w:val="auto"/>
          <w:sz w:val="24"/>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每立方米混凝土的粗骨料用量（</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eastAsia="宋体"/>
          <w:color w:val="auto"/>
          <w:sz w:val="24"/>
          <w:lang w:eastAsia="zh-CN"/>
        </w:rPr>
      </w:pPr>
      <w:r>
        <w:rPr>
          <w:b w:val="0"/>
          <w:bCs w:val="0"/>
          <w:color w:val="auto"/>
          <w:sz w:val="24"/>
        </w:rPr>
        <w:fldChar w:fldCharType="begin"/>
      </w:r>
      <w:r>
        <w:rPr>
          <w:b w:val="0"/>
          <w:bCs w:val="0"/>
          <w:color w:val="auto"/>
          <w:sz w:val="24"/>
        </w:rPr>
        <w:instrText xml:space="preserve"> QUOTE </w:instrText>
      </w:r>
      <w:r>
        <w:rPr>
          <w:rFonts w:hint="eastAsia"/>
          <w:b w:val="0"/>
          <w:bCs w:val="0"/>
          <w:color w:val="auto"/>
          <w:sz w:val="24"/>
        </w:rPr>
        <w:pict>
          <v:shape id="_x0000_i1029" o:spt="75" type="#_x0000_t75" style="height:16.5pt;width:30.75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A5E71&quot;/&gt;&lt;wsp:rsid wsp:val=&quot;004F47F6&quot;/&gt;&lt;wsp:rsid wsp:val=&quot;005153E7&quot;/&gt;&lt;wsp:rsid wsp:val=&quot;00551E0D&quot;/&gt;&lt;wsp:rsid wsp:val=&quot;005B79BC&quot;/&gt;&lt;wsp:rsid wsp:val=&quot;005F153A&quot;/&gt;&lt;wsp:rsid wsp:val=&quot;0065647E&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AA6C53&quot;/&gt;&lt;wsp:rsid wsp:val=&quot;00B901BB&quot;/&gt;&lt;wsp:rsid wsp:val=&quot;00BC66AD&quot;/&gt;&lt;wsp:rsid wsp:val=&quot;00BD39FD&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AA6C53&quot;&gt;&lt;m:oMathPara&gt;&lt;m:oMath&gt;&lt;m:r&gt;&lt;m:rPr&gt;&lt;m:sty m:val=&quot;p&quot;/&gt;&lt;/m:rPr&gt;&lt;w:rPr&gt;&lt;w:rFonts w:ascii=&quot;Cambria Math&quot; w:h-ansi=&quot;Cambria Math&quot;/&gt;&lt;wx:font wx:val=&quot;Cambria Math&quot;/&gt;&lt;w:kern w:val=&quot;0&quot;/&gt;&lt;w:sz w:val=&quot;28&quot;/&gt;&lt;w:sz-cs w:val=&quot;28&quot;/&gt;&lt;/w:rPr&gt;&lt;m:t&gt;m&lt;/m:t&gt;&lt;/m:r&gt;&lt;m:r&gt;&lt;m:rPr&gt;&lt;m:sty m:val=&quot;p&quot;/&gt;&lt;/m:rPr&gt;&lt;w:rPr&gt;&lt;w:rFonts w:ascii=&quot;Cambria Math&quot; w:h-ansi=&quot;Cambria Math&quot; w:hint=&quot;fareast&quot;/&gt;&lt;wx:font wx:val=&quot;Cambria Math&quot;/&gt;&lt;w:kern w:val=&quot;0&quot;/&gt;&lt;w:sz w:val=&quot;28&quot;/&gt;&lt;w:sz-cs w:val=&quot;28&quot;/&gt;&lt;/w:rPr&gt;&lt;m:t&gt;go&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8" chromakey="#FFFFFF" o:title=""/>
            <o:lock v:ext="edit" aspectratio="t"/>
            <w10:wrap type="none"/>
            <w10:anchorlock/>
          </v:shape>
        </w:pict>
      </w:r>
      <w:r>
        <w:rPr>
          <w:b w:val="0"/>
          <w:bCs w:val="0"/>
          <w:color w:val="auto"/>
          <w:sz w:val="24"/>
        </w:rPr>
        <w:instrText xml:space="preserve"> </w:instrText>
      </w:r>
      <w:r>
        <w:rPr>
          <w:b w:val="0"/>
          <w:bCs w:val="0"/>
          <w:color w:val="auto"/>
          <w:sz w:val="24"/>
        </w:rPr>
        <w:fldChar w:fldCharType="separate"/>
      </w:r>
      <w:r>
        <w:rPr>
          <w:b w:val="0"/>
          <w:bCs w:val="0"/>
          <w:color w:val="auto"/>
          <w:sz w:val="28"/>
          <w:szCs w:val="28"/>
        </w:rPr>
        <w:t>m</w:t>
      </w:r>
      <w:r>
        <w:rPr>
          <w:rFonts w:hint="eastAsia"/>
          <w:b w:val="0"/>
          <w:bCs w:val="0"/>
          <w:color w:val="auto"/>
          <w:sz w:val="28"/>
          <w:szCs w:val="28"/>
          <w:vertAlign w:val="subscript"/>
          <w:lang w:val="en-US" w:eastAsia="zh-CN"/>
        </w:rPr>
        <w:t>s0</w:t>
      </w:r>
      <w:r>
        <w:rPr>
          <w:b w:val="0"/>
          <w:bCs w:val="0"/>
          <w:color w:val="auto"/>
          <w:sz w:val="24"/>
        </w:rPr>
        <w:fldChar w:fldCharType="end"/>
      </w:r>
      <w:r>
        <w:rPr>
          <w:b w:val="0"/>
          <w:bCs w:val="0"/>
          <w:color w:val="auto"/>
          <w:sz w:val="24"/>
        </w:rPr>
        <w:t xml:space="preserve"> </w:t>
      </w:r>
      <w:r>
        <w:rPr>
          <w:rFonts w:hint="eastAsia"/>
          <w:b w:val="0"/>
          <w:bCs w:val="0"/>
          <w:color w:val="auto"/>
          <w:sz w:val="24"/>
          <w:lang w:val="en-US" w:eastAsia="zh-CN"/>
        </w:rPr>
        <w:t xml:space="preserve"> </w:t>
      </w:r>
      <w:r>
        <w:rPr>
          <w:color w:val="auto"/>
          <w:sz w:val="24"/>
        </w:rPr>
        <w:fldChar w:fldCharType="begin"/>
      </w:r>
      <w:r>
        <w:rPr>
          <w:color w:val="auto"/>
          <w:sz w:val="24"/>
        </w:rPr>
        <w:instrText xml:space="preserve"> QUOTE </w:instrText>
      </w:r>
      <w:r>
        <w:rPr>
          <w:rFonts w:hint="eastAsia"/>
          <w:color w:val="auto"/>
          <w:sz w:val="24"/>
        </w:rPr>
        <w:pict>
          <v:shape id="_x0000_i1030" o:spt="75" type="#_x0000_t75" style="height:16.5pt;width:30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A5E71&quot;/&gt;&lt;wsp:rsid wsp:val=&quot;004F47F6&quot;/&gt;&lt;wsp:rsid wsp:val=&quot;005153E7&quot;/&gt;&lt;wsp:rsid wsp:val=&quot;00551E0D&quot;/&gt;&lt;wsp:rsid wsp:val=&quot;005B79BC&quot;/&gt;&lt;wsp:rsid wsp:val=&quot;005F153A&quot;/&gt;&lt;wsp:rsid wsp:val=&quot;0065647E&quot;/&gt;&lt;wsp:rsid wsp:val=&quot;006608FD&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B901BB&quot;/&gt;&lt;wsp:rsid wsp:val=&quot;00BC66AD&quot;/&gt;&lt;wsp:rsid wsp:val=&quot;00BD39FD&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6608FD&quot;&gt;&lt;m:oMathPara&gt;&lt;m:oMath&gt;&lt;m:r&gt;&lt;m:rPr&gt;&lt;m:sty m:val=&quot;p&quot;/&gt;&lt;/m:rPr&gt;&lt;w:rPr&gt;&lt;w:rFonts w:ascii=&quot;Cambria Math&quot; w:h-ansi=&quot;Cambria Math&quot;/&gt;&lt;wx:font wx:val=&quot;Cambria Math&quot;/&gt;&lt;w:kern w:val=&quot;0&quot;/&gt;&lt;w:sz w:val=&quot;28&quot;/&gt;&lt;w:sz-cs w:val=&quot;28&quot;/&gt;&lt;/w:rPr&gt;&lt;m:t&gt;m&lt;/m:t&gt;&lt;/m:r&gt;&lt;m:r&gt;&lt;m:rPr&gt;&lt;m:sty m:val=&quot;p&quot;/&gt;&lt;/m:rPr&gt;&lt;w:rPr&gt;&lt;w:rFonts w:ascii=&quot;Cambria Math&quot; w:h-ansi=&quot;Cambria Math&quot; w:hint=&quot;fareast&quot;/&gt;&lt;wx:font wx:val=&quot;Cambria Math&quot;/&gt;&lt;w:kern w:val=&quot;0&quot;/&gt;&lt;w:sz w:val=&quot;28&quot;/&gt;&lt;w:sz-cs w:val=&quot;28&quot;/&gt;&lt;/w:rPr&gt;&lt;m:t&gt;so&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9" chromakey="#FFFFFF" o:title=""/>
            <o:lock v:ext="edit" aspectratio="t"/>
            <w10:wrap type="none"/>
            <w10:anchorlock/>
          </v:shape>
        </w:pict>
      </w:r>
      <w:r>
        <w:rPr>
          <w:color w:val="auto"/>
          <w:sz w:val="24"/>
        </w:rPr>
        <w:instrText xml:space="preserve"> </w:instrText>
      </w:r>
      <w:r>
        <w:rPr>
          <w:color w:val="auto"/>
          <w:sz w:val="24"/>
        </w:rPr>
        <w:fldChar w:fldCharType="separate"/>
      </w:r>
      <w:r>
        <w:rPr>
          <w:color w:val="auto"/>
          <w:sz w:val="24"/>
        </w:rPr>
        <w:fldChar w:fldCharType="end"/>
      </w:r>
      <w:r>
        <w:rPr>
          <w:color w:val="auto"/>
          <w:sz w:val="24"/>
        </w:rPr>
        <w:t>——</w:t>
      </w:r>
      <w:r>
        <w:rPr>
          <w:rFonts w:hint="eastAsia"/>
          <w:color w:val="auto"/>
          <w:sz w:val="24"/>
          <w:lang w:val="en-US" w:eastAsia="zh-CN"/>
        </w:rPr>
        <w:t xml:space="preserve"> </w:t>
      </w:r>
      <w:r>
        <w:rPr>
          <w:rFonts w:hint="eastAsia"/>
          <w:color w:val="auto"/>
          <w:sz w:val="24"/>
        </w:rPr>
        <w:t>每立方米混凝土的细骨料用量（</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left="958" w:leftChars="342" w:hanging="240" w:hangingChars="100"/>
        <w:textAlignment w:val="auto"/>
        <w:rPr>
          <w:color w:val="auto"/>
          <w:sz w:val="24"/>
        </w:rPr>
      </w:pPr>
      <w:r>
        <w:rPr>
          <w:b w:val="0"/>
          <w:bCs w:val="0"/>
          <w:color w:val="auto"/>
          <w:sz w:val="24"/>
        </w:rPr>
        <w:fldChar w:fldCharType="begin"/>
      </w:r>
      <w:r>
        <w:rPr>
          <w:b w:val="0"/>
          <w:bCs w:val="0"/>
          <w:color w:val="auto"/>
          <w:sz w:val="24"/>
        </w:rPr>
        <w:instrText xml:space="preserve"> QUOTE </w:instrText>
      </w:r>
      <w:r>
        <w:rPr>
          <w:rFonts w:hint="eastAsia"/>
          <w:b w:val="0"/>
          <w:bCs w:val="0"/>
          <w:color w:val="auto"/>
          <w:sz w:val="24"/>
        </w:rPr>
        <w:pict>
          <v:shape id="_x0000_i1031" o:spt="75" type="#_x0000_t75" style="height:16.5pt;width:30.75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A5E71&quot;/&gt;&lt;wsp:rsid wsp:val=&quot;004F47F6&quot;/&gt;&lt;wsp:rsid wsp:val=&quot;005153E7&quot;/&gt;&lt;wsp:rsid wsp:val=&quot;00551E0D&quot;/&gt;&lt;wsp:rsid wsp:val=&quot;005B79BC&quot;/&gt;&lt;wsp:rsid wsp:val=&quot;005F153A&quot;/&gt;&lt;wsp:rsid wsp:val=&quot;0065647E&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AA6C53&quot;/&gt;&lt;wsp:rsid wsp:val=&quot;00B901BB&quot;/&gt;&lt;wsp:rsid wsp:val=&quot;00BC66AD&quot;/&gt;&lt;wsp:rsid wsp:val=&quot;00BD39FD&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AA6C53&quot;&gt;&lt;m:oMathPara&gt;&lt;m:oMath&gt;&lt;m:r&gt;&lt;m:rPr&gt;&lt;m:sty m:val=&quot;p&quot;/&gt;&lt;/m:rPr&gt;&lt;w:rPr&gt;&lt;w:rFonts w:ascii=&quot;Cambria Math&quot; w:h-ansi=&quot;Cambria Math&quot;/&gt;&lt;wx:font wx:val=&quot;Cambria Math&quot;/&gt;&lt;w:kern w:val=&quot;0&quot;/&gt;&lt;w:sz w:val=&quot;28&quot;/&gt;&lt;w:sz-cs w:val=&quot;28&quot;/&gt;&lt;/w:rPr&gt;&lt;m:t&gt;m&lt;/m:t&gt;&lt;/m:r&gt;&lt;m:r&gt;&lt;m:rPr&gt;&lt;m:sty m:val=&quot;p&quot;/&gt;&lt;/m:rPr&gt;&lt;w:rPr&gt;&lt;w:rFonts w:ascii=&quot;Cambria Math&quot; w:h-ansi=&quot;Cambria Math&quot; w:hint=&quot;fareast&quot;/&gt;&lt;wx:font wx:val=&quot;Cambria Math&quot;/&gt;&lt;w:kern w:val=&quot;0&quot;/&gt;&lt;w:sz w:val=&quot;28&quot;/&gt;&lt;w:sz-cs w:val=&quot;28&quot;/&gt;&lt;/w:rPr&gt;&lt;m:t&gt;go&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8" chromakey="#FFFFFF" o:title=""/>
            <o:lock v:ext="edit" aspectratio="t"/>
            <w10:wrap type="none"/>
            <w10:anchorlock/>
          </v:shape>
        </w:pict>
      </w:r>
      <w:r>
        <w:rPr>
          <w:b w:val="0"/>
          <w:bCs w:val="0"/>
          <w:color w:val="auto"/>
          <w:sz w:val="24"/>
        </w:rPr>
        <w:instrText xml:space="preserve"> </w:instrText>
      </w:r>
      <w:r>
        <w:rPr>
          <w:b w:val="0"/>
          <w:bCs w:val="0"/>
          <w:color w:val="auto"/>
          <w:sz w:val="24"/>
        </w:rPr>
        <w:fldChar w:fldCharType="separate"/>
      </w:r>
      <w:r>
        <w:rPr>
          <w:b w:val="0"/>
          <w:bCs w:val="0"/>
          <w:color w:val="auto"/>
          <w:sz w:val="28"/>
          <w:szCs w:val="28"/>
        </w:rPr>
        <w:t>m</w:t>
      </w:r>
      <w:r>
        <w:rPr>
          <w:rFonts w:hint="eastAsia"/>
          <w:b w:val="0"/>
          <w:bCs w:val="0"/>
          <w:color w:val="auto"/>
          <w:sz w:val="28"/>
          <w:szCs w:val="28"/>
          <w:vertAlign w:val="subscript"/>
          <w:lang w:val="en-US" w:eastAsia="zh-CN"/>
        </w:rPr>
        <w:t>f</w:t>
      </w:r>
      <w:r>
        <w:rPr>
          <w:b w:val="0"/>
          <w:bCs w:val="0"/>
          <w:color w:val="auto"/>
          <w:sz w:val="24"/>
        </w:rPr>
        <w:fldChar w:fldCharType="end"/>
      </w:r>
      <w:r>
        <w:rPr>
          <w:rFonts w:hint="eastAsia"/>
          <w:b w:val="0"/>
          <w:bCs w:val="0"/>
          <w:color w:val="auto"/>
          <w:sz w:val="24"/>
          <w:vertAlign w:val="subscript"/>
          <w:lang w:val="en-US" w:eastAsia="zh-CN"/>
        </w:rPr>
        <w:t xml:space="preserve">cu   </w:t>
      </w:r>
      <w:r>
        <w:rPr>
          <w:color w:val="auto"/>
          <w:sz w:val="24"/>
        </w:rPr>
        <w:t>——</w:t>
      </w:r>
      <w:r>
        <w:rPr>
          <w:rFonts w:hint="eastAsia"/>
          <w:color w:val="auto"/>
          <w:sz w:val="24"/>
          <w:lang w:val="en-US" w:eastAsia="zh-CN"/>
        </w:rPr>
        <w:t xml:space="preserve">  </w:t>
      </w:r>
      <w:r>
        <w:rPr>
          <w:color w:val="auto"/>
          <w:sz w:val="24"/>
        </w:rPr>
        <w:t xml:space="preserve">n </w:t>
      </w:r>
      <w:r>
        <w:rPr>
          <w:rFonts w:hint="eastAsia"/>
          <w:color w:val="auto"/>
          <w:sz w:val="24"/>
        </w:rPr>
        <w:t>组试件的强度平均值</w:t>
      </w:r>
      <w:r>
        <w:rPr>
          <w:rFonts w:hint="eastAsia"/>
          <w:color w:val="auto"/>
          <w:sz w:val="24"/>
          <w:lang w:eastAsia="zh-CN"/>
        </w:rPr>
        <w:t>（</w:t>
      </w:r>
      <w:r>
        <w:rPr>
          <w:color w:val="auto"/>
          <w:sz w:val="24"/>
        </w:rPr>
        <w:t>MPa</w:t>
      </w:r>
      <w:r>
        <w:rPr>
          <w:rFonts w:hint="eastAsia"/>
          <w:color w:val="auto"/>
          <w:sz w:val="24"/>
          <w:lang w:eastAsia="zh-CN"/>
        </w:rPr>
        <w:t>）；</w:t>
      </w:r>
      <w:r>
        <w:rPr>
          <w:color w:val="auto"/>
          <w:sz w:val="24"/>
        </w:rPr>
        <w:t xml:space="preserve"> </w:t>
      </w:r>
    </w:p>
    <w:p>
      <w:pPr>
        <w:pageBreakBefore w:val="0"/>
        <w:widowControl w:val="0"/>
        <w:kinsoku/>
        <w:wordWrap/>
        <w:overflowPunct/>
        <w:topLinePunct w:val="0"/>
        <w:autoSpaceDE/>
        <w:autoSpaceDN/>
        <w:bidi w:val="0"/>
        <w:adjustRightInd/>
        <w:snapToGrid/>
        <w:spacing w:line="480" w:lineRule="exact"/>
        <w:ind w:left="999" w:leftChars="342" w:hanging="281" w:hangingChars="100"/>
        <w:textAlignment w:val="auto"/>
        <w:rPr>
          <w:rFonts w:hint="eastAsia"/>
          <w:color w:val="auto"/>
          <w:sz w:val="24"/>
        </w:rPr>
      </w:pPr>
      <w:r>
        <w:rPr>
          <w:rFonts w:hint="eastAsia"/>
          <w:b/>
          <w:bCs/>
          <w:color w:val="auto"/>
          <w:sz w:val="28"/>
          <w:szCs w:val="28"/>
        </w:rPr>
        <w:t>σ</w:t>
      </w:r>
      <w:r>
        <w:rPr>
          <w:rFonts w:hint="eastAsia"/>
          <w:b/>
          <w:bCs/>
          <w:color w:val="auto"/>
          <w:sz w:val="28"/>
          <w:szCs w:val="28"/>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混凝土强度标准差</w:t>
      </w:r>
      <w:r>
        <w:rPr>
          <w:rFonts w:hint="eastAsia"/>
          <w:color w:val="auto"/>
          <w:sz w:val="24"/>
          <w:lang w:eastAsia="zh-CN"/>
        </w:rPr>
        <w:t>（</w:t>
      </w:r>
      <w:r>
        <w:rPr>
          <w:color w:val="auto"/>
          <w:sz w:val="24"/>
        </w:rPr>
        <w:t>MPa</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left="479" w:leftChars="228" w:firstLine="280" w:firstLineChars="100"/>
        <w:textAlignment w:val="auto"/>
        <w:rPr>
          <w:rFonts w:hint="eastAsia" w:eastAsia="宋体"/>
          <w:color w:val="auto"/>
          <w:sz w:val="24"/>
          <w:lang w:eastAsia="zh-CN"/>
        </w:rPr>
      </w:pPr>
      <w:r>
        <w:rPr>
          <w:color w:val="auto"/>
          <w:sz w:val="28"/>
          <w:szCs w:val="28"/>
        </w:rPr>
        <w:t>α</w:t>
      </w:r>
      <w:r>
        <w:rPr>
          <w:rFonts w:hint="eastAsia"/>
          <w:color w:val="auto"/>
          <w:sz w:val="28"/>
          <w:szCs w:val="28"/>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混凝土的含气量百分数</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eastAsia="宋体"/>
          <w:color w:val="auto"/>
          <w:sz w:val="24"/>
          <w:lang w:eastAsia="zh-CN"/>
        </w:rPr>
      </w:pPr>
      <w:r>
        <w:rPr>
          <w:rFonts w:hint="eastAsia" w:ascii="宋体" w:hAnsi="宋体" w:eastAsia="宋体" w:cs="宋体"/>
          <w:b/>
          <w:bCs/>
          <w:color w:val="auto"/>
          <w:sz w:val="28"/>
          <w:szCs w:val="28"/>
        </w:rPr>
        <w:t>α</w:t>
      </w:r>
      <w:r>
        <w:rPr>
          <w:rFonts w:hint="eastAsia" w:ascii="宋体" w:hAnsi="宋体" w:eastAsia="宋体" w:cs="宋体"/>
          <w:b/>
          <w:bCs/>
          <w:color w:val="auto"/>
          <w:sz w:val="28"/>
          <w:szCs w:val="28"/>
          <w:vertAlign w:val="subscript"/>
        </w:rPr>
        <w:t>a</w:t>
      </w:r>
      <w:r>
        <w:rPr>
          <w:rFonts w:hint="eastAsia" w:ascii="宋体" w:hAnsi="宋体" w:eastAsia="宋体" w:cs="宋体"/>
          <w:b/>
          <w:bCs/>
          <w:color w:val="auto"/>
          <w:sz w:val="28"/>
          <w:szCs w:val="28"/>
        </w:rPr>
        <w:t>、α</w:t>
      </w:r>
      <w:r>
        <w:rPr>
          <w:rFonts w:hint="eastAsia" w:ascii="宋体" w:hAnsi="宋体" w:eastAsia="宋体" w:cs="宋体"/>
          <w:b/>
          <w:bCs/>
          <w:color w:val="auto"/>
          <w:sz w:val="28"/>
          <w:szCs w:val="28"/>
          <w:vertAlign w:val="subscript"/>
        </w:rPr>
        <w:t>b</w:t>
      </w:r>
      <w:r>
        <w:rPr>
          <w:rFonts w:hint="eastAsia" w:ascii="宋体" w:hAnsi="宋体" w:cs="宋体"/>
          <w:b/>
          <w:bCs/>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回归系数</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843" w:firstLineChars="3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γ</w:t>
      </w:r>
      <w:r>
        <w:rPr>
          <w:rFonts w:hint="eastAsia" w:ascii="宋体" w:hAnsi="宋体" w:cs="宋体"/>
          <w:b/>
          <w:bCs/>
          <w:color w:val="auto"/>
          <w:sz w:val="28"/>
          <w:szCs w:val="28"/>
          <w:vertAlign w:val="subscript"/>
          <w:lang w:val="en-US" w:eastAsia="zh-CN"/>
        </w:rPr>
        <w:t>c</w:t>
      </w:r>
      <w:r>
        <w:rPr>
          <w:rFonts w:hint="eastAsia" w:ascii="宋体" w:hAnsi="宋体" w:cs="宋体"/>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水泥强度等级值的富余系数</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843" w:firstLineChars="300"/>
        <w:textAlignment w:val="auto"/>
        <w:rPr>
          <w:rFonts w:hint="eastAsia" w:eastAsia="宋体"/>
          <w:color w:val="auto"/>
          <w:sz w:val="24"/>
          <w:lang w:eastAsia="zh-CN"/>
        </w:rPr>
      </w:pPr>
      <w:r>
        <w:rPr>
          <w:rFonts w:hint="eastAsia" w:ascii="宋体" w:hAnsi="宋体" w:eastAsia="宋体" w:cs="宋体"/>
          <w:b/>
          <w:bCs/>
          <w:color w:val="auto"/>
          <w:sz w:val="28"/>
          <w:szCs w:val="28"/>
        </w:rPr>
        <w:t>γ</w:t>
      </w:r>
      <w:r>
        <w:rPr>
          <w:rFonts w:hint="eastAsia" w:ascii="宋体" w:hAnsi="宋体" w:eastAsia="宋体" w:cs="宋体"/>
          <w:b/>
          <w:bCs/>
          <w:color w:val="auto"/>
          <w:sz w:val="28"/>
          <w:szCs w:val="28"/>
          <w:vertAlign w:val="subscript"/>
          <w:lang w:val="en-US" w:eastAsia="zh-CN"/>
        </w:rPr>
        <w:t>f</w:t>
      </w:r>
      <w:r>
        <w:rPr>
          <w:rFonts w:hint="eastAsia" w:ascii="宋体" w:hAnsi="宋体" w:cs="宋体"/>
          <w:b/>
          <w:bCs/>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粉煤灰的影响系数</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843" w:firstLineChars="300"/>
        <w:textAlignment w:val="auto"/>
        <w:rPr>
          <w:rFonts w:hint="eastAsia" w:eastAsia="宋体"/>
          <w:color w:val="auto"/>
          <w:sz w:val="24"/>
          <w:lang w:eastAsia="zh-CN"/>
        </w:rPr>
      </w:pPr>
      <w:r>
        <w:rPr>
          <w:rFonts w:hint="eastAsia" w:ascii="宋体" w:hAnsi="宋体" w:eastAsia="宋体" w:cs="宋体"/>
          <w:b/>
          <w:bCs/>
          <w:color w:val="auto"/>
          <w:sz w:val="28"/>
          <w:szCs w:val="28"/>
        </w:rPr>
        <w:t>γ</w:t>
      </w:r>
      <w:r>
        <w:rPr>
          <w:rFonts w:hint="eastAsia" w:ascii="宋体" w:hAnsi="宋体" w:eastAsia="宋体" w:cs="宋体"/>
          <w:b/>
          <w:bCs/>
          <w:color w:val="auto"/>
          <w:sz w:val="28"/>
          <w:szCs w:val="28"/>
          <w:vertAlign w:val="subscript"/>
          <w:lang w:val="en-US" w:eastAsia="zh-CN"/>
        </w:rPr>
        <w:t>s</w:t>
      </w:r>
      <w:r>
        <w:rPr>
          <w:rFonts w:hint="eastAsia" w:ascii="宋体" w:hAnsi="宋体" w:cs="宋体"/>
          <w:b/>
          <w:bCs/>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粒化高炉矿渣粉的影响系数</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eastAsia="宋体"/>
          <w:b/>
          <w:bCs/>
          <w:color w:val="auto"/>
          <w:sz w:val="28"/>
          <w:szCs w:val="28"/>
          <w:lang w:eastAsia="zh-CN"/>
        </w:rPr>
      </w:pPr>
      <w:r>
        <w:rPr>
          <w:b w:val="0"/>
          <w:bCs w:val="0"/>
          <w:color w:val="auto"/>
          <w:sz w:val="28"/>
          <w:szCs w:val="28"/>
        </w:rPr>
        <w:t>β</w:t>
      </w:r>
      <w:r>
        <w:rPr>
          <w:b w:val="0"/>
          <w:bCs w:val="0"/>
          <w:color w:val="auto"/>
          <w:sz w:val="24"/>
        </w:rPr>
        <w:t xml:space="preserve"> </w:t>
      </w:r>
      <w:r>
        <w:rPr>
          <w:rFonts w:hint="eastAsia"/>
          <w:b w:val="0"/>
          <w:bCs w:val="0"/>
          <w:color w:val="auto"/>
          <w:sz w:val="24"/>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外加剂的减水率（</w:t>
      </w:r>
      <w:r>
        <w:rPr>
          <w:color w:val="auto"/>
          <w:sz w:val="24"/>
        </w:rPr>
        <w:t>%</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eastAsia="宋体"/>
          <w:color w:val="auto"/>
          <w:sz w:val="24"/>
          <w:lang w:eastAsia="zh-CN"/>
        </w:rPr>
      </w:pPr>
      <w:r>
        <w:rPr>
          <w:b w:val="0"/>
          <w:bCs w:val="0"/>
          <w:color w:val="auto"/>
          <w:sz w:val="28"/>
          <w:szCs w:val="28"/>
        </w:rPr>
        <w:t>β</w:t>
      </w:r>
      <w:r>
        <w:rPr>
          <w:b w:val="0"/>
          <w:bCs w:val="0"/>
          <w:color w:val="auto"/>
          <w:sz w:val="28"/>
          <w:szCs w:val="28"/>
          <w:vertAlign w:val="subscript"/>
        </w:rPr>
        <w:t>a</w:t>
      </w:r>
      <w:r>
        <w:rPr>
          <w:rFonts w:hint="eastAsia"/>
          <w:b w:val="0"/>
          <w:bCs w:val="0"/>
          <w:color w:val="auto"/>
          <w:sz w:val="28"/>
          <w:szCs w:val="28"/>
          <w:vertAlign w:val="subscript"/>
          <w:lang w:val="en-US" w:eastAsia="zh-CN"/>
        </w:rPr>
        <w:t xml:space="preserve">  </w:t>
      </w:r>
      <w:r>
        <w:rPr>
          <w:b w:val="0"/>
          <w:bCs w:val="0"/>
          <w:color w:val="auto"/>
          <w:sz w:val="24"/>
        </w:rPr>
        <w:t xml:space="preserve"> </w:t>
      </w:r>
      <w:r>
        <w:rPr>
          <w:color w:val="auto"/>
          <w:sz w:val="24"/>
        </w:rPr>
        <w:t>——</w:t>
      </w:r>
      <w:r>
        <w:rPr>
          <w:rFonts w:hint="eastAsia"/>
          <w:color w:val="auto"/>
          <w:sz w:val="24"/>
          <w:lang w:val="en-US" w:eastAsia="zh-CN"/>
        </w:rPr>
        <w:t xml:space="preserve"> </w:t>
      </w:r>
      <w:r>
        <w:rPr>
          <w:rFonts w:hint="eastAsia"/>
          <w:color w:val="auto"/>
          <w:sz w:val="24"/>
        </w:rPr>
        <w:t>外加剂掺量（</w:t>
      </w:r>
      <w:r>
        <w:rPr>
          <w:color w:val="auto"/>
          <w:sz w:val="24"/>
        </w:rPr>
        <w:t>%</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eastAsia="宋体"/>
          <w:color w:val="auto"/>
          <w:sz w:val="24"/>
          <w:lang w:eastAsia="zh-CN"/>
        </w:rPr>
      </w:pPr>
      <w:r>
        <w:rPr>
          <w:b w:val="0"/>
          <w:bCs w:val="0"/>
          <w:color w:val="auto"/>
          <w:sz w:val="28"/>
          <w:szCs w:val="28"/>
        </w:rPr>
        <w:t>β</w:t>
      </w:r>
      <w:r>
        <w:rPr>
          <w:b w:val="0"/>
          <w:bCs w:val="0"/>
          <w:color w:val="auto"/>
          <w:sz w:val="28"/>
          <w:szCs w:val="28"/>
          <w:vertAlign w:val="subscript"/>
        </w:rPr>
        <w:t>f</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计算水胶比过程中确定的矿物掺合料掺量（</w:t>
      </w:r>
      <w:r>
        <w:rPr>
          <w:color w:val="auto"/>
          <w:sz w:val="24"/>
        </w:rPr>
        <w:t>%</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color w:val="auto"/>
          <w:sz w:val="24"/>
        </w:rPr>
      </w:pPr>
      <w:r>
        <w:rPr>
          <w:b w:val="0"/>
          <w:bCs w:val="0"/>
          <w:color w:val="auto"/>
          <w:sz w:val="28"/>
          <w:szCs w:val="28"/>
        </w:rPr>
        <w:t>β</w:t>
      </w:r>
      <w:r>
        <w:rPr>
          <w:b w:val="0"/>
          <w:bCs w:val="0"/>
          <w:color w:val="auto"/>
          <w:sz w:val="28"/>
          <w:szCs w:val="28"/>
          <w:vertAlign w:val="subscript"/>
        </w:rPr>
        <w:t>s</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砂率（</w:t>
      </w:r>
      <w:r>
        <w:rPr>
          <w:color w:val="auto"/>
          <w:sz w:val="24"/>
        </w:rPr>
        <w:t>%</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787" w:firstLineChars="328"/>
        <w:textAlignment w:val="auto"/>
        <w:rPr>
          <w:rFonts w:hint="eastAsia"/>
          <w:color w:val="auto"/>
          <w:sz w:val="24"/>
          <w:lang w:eastAsia="zh-CN"/>
        </w:rPr>
      </w:pPr>
      <w:r>
        <w:rPr>
          <w:color w:val="auto"/>
          <w:sz w:val="24"/>
        </w:rPr>
        <w:t xml:space="preserve"> </w:t>
      </w:r>
      <w:r>
        <w:rPr>
          <w:rFonts w:hint="default" w:ascii="Times New Roman" w:hAnsi="Times New Roman" w:cs="Times New Roman"/>
          <w:color w:val="auto"/>
          <w:sz w:val="28"/>
          <w:szCs w:val="28"/>
        </w:rPr>
        <w:t>ρ</w:t>
      </w:r>
      <w:r>
        <w:rPr>
          <w:b w:val="0"/>
          <w:bCs w:val="0"/>
          <w:color w:val="auto"/>
          <w:sz w:val="28"/>
          <w:szCs w:val="28"/>
          <w:vertAlign w:val="subscript"/>
        </w:rPr>
        <w:t>c</w:t>
      </w:r>
      <w:r>
        <w:rPr>
          <w:rFonts w:hint="eastAsia"/>
          <w:b w:val="0"/>
          <w:bCs w:val="0"/>
          <w:color w:val="auto"/>
          <w:sz w:val="28"/>
          <w:szCs w:val="28"/>
          <w:vertAlign w:val="subscript"/>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水泥密度（</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918" w:firstLineChars="328"/>
        <w:textAlignment w:val="auto"/>
        <w:rPr>
          <w:color w:val="auto"/>
          <w:sz w:val="24"/>
        </w:rPr>
      </w:pPr>
      <w:r>
        <w:rPr>
          <w:rFonts w:hint="default" w:ascii="Times New Roman" w:hAnsi="Times New Roman" w:cs="Times New Roman"/>
          <w:color w:val="auto"/>
          <w:sz w:val="28"/>
          <w:szCs w:val="28"/>
        </w:rPr>
        <w:t>ρ</w:t>
      </w:r>
      <w:r>
        <w:rPr>
          <w:rFonts w:hint="eastAsia"/>
          <w:b w:val="0"/>
          <w:bCs w:val="0"/>
          <w:color w:val="auto"/>
          <w:sz w:val="28"/>
          <w:szCs w:val="28"/>
          <w:vertAlign w:val="subscript"/>
          <w:lang w:val="en-US" w:eastAsia="zh-CN"/>
        </w:rPr>
        <w:t xml:space="preserve">f </w:t>
      </w:r>
      <w:r>
        <w:rPr>
          <w:color w:val="auto"/>
          <w:sz w:val="24"/>
        </w:rPr>
        <w:t xml:space="preserve"> </w:t>
      </w:r>
      <w:r>
        <w:rPr>
          <w:rFonts w:hint="eastAsia"/>
          <w:color w:val="auto"/>
          <w:sz w:val="24"/>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矿物掺合料密度（</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r>
        <w:rPr>
          <w:rFonts w:hint="eastAsia" w:cs="Times New Roman"/>
          <w:color w:val="auto"/>
          <w:sz w:val="24"/>
          <w:lang w:val="en-US" w:eastAsia="zh-CN"/>
        </w:rPr>
        <w:t xml:space="preserve"> </w:t>
      </w:r>
      <w:r>
        <w:rPr>
          <w:color w:val="auto"/>
          <w:sz w:val="24"/>
        </w:rPr>
        <w:t xml:space="preserve"> </w:t>
      </w:r>
    </w:p>
    <w:p>
      <w:pPr>
        <w:pageBreakBefore w:val="0"/>
        <w:widowControl w:val="0"/>
        <w:kinsoku/>
        <w:wordWrap/>
        <w:overflowPunct/>
        <w:topLinePunct w:val="0"/>
        <w:autoSpaceDE/>
        <w:autoSpaceDN/>
        <w:bidi w:val="0"/>
        <w:adjustRightInd/>
        <w:snapToGrid/>
        <w:spacing w:line="480" w:lineRule="exact"/>
        <w:ind w:firstLine="918" w:firstLineChars="328"/>
        <w:textAlignment w:val="auto"/>
        <w:rPr>
          <w:rFonts w:hint="eastAsia"/>
          <w:color w:val="auto"/>
          <w:sz w:val="24"/>
          <w:lang w:eastAsia="zh-CN"/>
        </w:rPr>
      </w:pPr>
      <w:r>
        <w:rPr>
          <w:rFonts w:hint="default" w:ascii="Times New Roman" w:hAnsi="Times New Roman" w:cs="Times New Roman"/>
          <w:color w:val="auto"/>
          <w:sz w:val="28"/>
          <w:szCs w:val="28"/>
        </w:rPr>
        <w:t>ρ</w:t>
      </w:r>
      <w:r>
        <w:rPr>
          <w:rFonts w:hint="eastAsia"/>
          <w:b w:val="0"/>
          <w:bCs w:val="0"/>
          <w:color w:val="auto"/>
          <w:sz w:val="28"/>
          <w:szCs w:val="28"/>
          <w:vertAlign w:val="subscript"/>
          <w:lang w:val="en-US" w:eastAsia="zh-CN"/>
        </w:rPr>
        <w:t xml:space="preserve">g </w:t>
      </w:r>
      <w:r>
        <w:rPr>
          <w:color w:val="auto"/>
          <w:sz w:val="28"/>
          <w:szCs w:val="28"/>
        </w:rPr>
        <w:t xml:space="preserve"> </w:t>
      </w:r>
      <w:r>
        <w:rPr>
          <w:rFonts w:hint="eastAsia"/>
          <w:color w:val="auto"/>
          <w:sz w:val="28"/>
          <w:szCs w:val="28"/>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粗骨料的表观密度（</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918" w:firstLineChars="328"/>
        <w:textAlignment w:val="auto"/>
        <w:rPr>
          <w:rFonts w:hint="eastAsia"/>
          <w:color w:val="auto"/>
          <w:sz w:val="24"/>
          <w:lang w:eastAsia="zh-CN"/>
        </w:rPr>
      </w:pPr>
      <w:r>
        <w:rPr>
          <w:rFonts w:hint="default" w:ascii="Times New Roman" w:hAnsi="Times New Roman" w:cs="Times New Roman"/>
          <w:color w:val="auto"/>
          <w:sz w:val="28"/>
          <w:szCs w:val="28"/>
        </w:rPr>
        <w:t>ρ</w:t>
      </w:r>
      <w:r>
        <w:rPr>
          <w:rFonts w:hint="eastAsia"/>
          <w:b w:val="0"/>
          <w:bCs w:val="0"/>
          <w:color w:val="auto"/>
          <w:sz w:val="28"/>
          <w:szCs w:val="28"/>
          <w:vertAlign w:val="subscript"/>
          <w:lang w:val="en-US" w:eastAsia="zh-CN"/>
        </w:rPr>
        <w:t>s</w:t>
      </w:r>
      <w:r>
        <w:rPr>
          <w:color w:val="auto"/>
          <w:sz w:val="24"/>
        </w:rPr>
        <w:t xml:space="preserve"> </w:t>
      </w:r>
      <w:r>
        <w:rPr>
          <w:rFonts w:hint="eastAsia"/>
          <w:color w:val="auto"/>
          <w:sz w:val="24"/>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细骨料的表观密度（</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918" w:firstLineChars="328"/>
        <w:textAlignment w:val="auto"/>
        <w:rPr>
          <w:rFonts w:hint="eastAsia"/>
          <w:color w:val="auto"/>
          <w:sz w:val="24"/>
          <w:lang w:eastAsia="zh-CN"/>
        </w:rPr>
      </w:pPr>
      <w:r>
        <w:rPr>
          <w:rFonts w:hint="default" w:ascii="Times New Roman" w:hAnsi="Times New Roman" w:cs="Times New Roman"/>
          <w:color w:val="auto"/>
          <w:sz w:val="28"/>
          <w:szCs w:val="28"/>
        </w:rPr>
        <w:t>ρ</w:t>
      </w:r>
      <w:r>
        <w:rPr>
          <w:rFonts w:hint="eastAsia"/>
          <w:b w:val="0"/>
          <w:bCs w:val="0"/>
          <w:color w:val="auto"/>
          <w:sz w:val="28"/>
          <w:szCs w:val="28"/>
          <w:vertAlign w:val="subscript"/>
          <w:lang w:val="en-US" w:eastAsia="zh-CN"/>
        </w:rPr>
        <w:t>w</w:t>
      </w:r>
      <w:r>
        <w:rPr>
          <w:color w:val="auto"/>
          <w:sz w:val="24"/>
        </w:rPr>
        <w:t xml:space="preserve"> </w:t>
      </w:r>
      <w:r>
        <w:rPr>
          <w:rFonts w:hint="eastAsia"/>
          <w:color w:val="auto"/>
          <w:sz w:val="24"/>
          <w:lang w:val="en-US" w:eastAsia="zh-CN"/>
        </w:rPr>
        <w:t xml:space="preserve"> </w:t>
      </w:r>
      <w:r>
        <w:rPr>
          <w:color w:val="auto"/>
          <w:sz w:val="24"/>
        </w:rPr>
        <w:fldChar w:fldCharType="begin"/>
      </w:r>
      <w:r>
        <w:rPr>
          <w:color w:val="auto"/>
          <w:sz w:val="24"/>
        </w:rPr>
        <w:instrText xml:space="preserve"> QUOTE </w:instrText>
      </w:r>
      <w:r>
        <w:rPr>
          <w:rFonts w:hint="eastAsia"/>
          <w:color w:val="auto"/>
          <w:sz w:val="24"/>
        </w:rPr>
        <w:pict>
          <v:shape id="_x0000_i1032" o:spt="75" type="#_x0000_t75" style="height:16.5pt;width:21.75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A5E71&quot;/&gt;&lt;wsp:rsid wsp:val=&quot;004F47F6&quot;/&gt;&lt;wsp:rsid wsp:val=&quot;005153E7&quot;/&gt;&lt;wsp:rsid wsp:val=&quot;00551E0D&quot;/&gt;&lt;wsp:rsid wsp:val=&quot;005B79BC&quot;/&gt;&lt;wsp:rsid wsp:val=&quot;005F153A&quot;/&gt;&lt;wsp:rsid wsp:val=&quot;0065647E&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B901BB&quot;/&gt;&lt;wsp:rsid wsp:val=&quot;00BC66AD&quot;/&gt;&lt;wsp:rsid wsp:val=&quot;00BD39FD&quot;/&gt;&lt;wsp:rsid wsp:val=&quot;00C646FF&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C646FF&quot;&gt;&lt;m:oMathPara&gt;&lt;m:oMath&gt;&lt;m:r&gt;&lt;m:rPr&gt;&lt;m:sty m:val=&quot;p&quot;/&gt;&lt;/m:rPr&gt;&lt;w:rPr&gt;&lt;w:rFonts w:ascii=&quot;Cambria Math&quot; w:h-ansi=&quot;Cambria Math&quot;/&gt;&lt;wx:font wx:val=&quot;Cambria Math&quot;/&gt;&lt;w:kern w:val=&quot;0&quot;/&gt;&lt;w:sz w:val=&quot;28&quot;/&gt;&lt;w:sz-cs w:val=&quot;28&quot;/&gt;&lt;/w:rPr&gt;&lt;m:t&gt;ρ&lt;/m:t&gt;&lt;/m:r&gt;&lt;m:r&gt;&lt;m:rPr&gt;&lt;m:sty m:val=&quot;p&quot;/&gt;&lt;/m:rPr&gt;&lt;w:rPr&gt;&lt;w:rFonts w:ascii=&quot;Cambria Math&quot; w:h-ansi=&quot;Cambria Math&quot; w:hint=&quot;fareast&quot;/&gt;&lt;wx:font wx:val=&quot;Cambria Math&quot;/&gt;&lt;w:kern w:val=&quot;0&quot;/&gt;&lt;w:sz w:val=&quot;28&quot;/&gt;&lt;w:sz-cs w:val=&quot;28&quot;/&gt;&lt;/w:rPr&gt;&lt;m:t&gt;w&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0" chromakey="#FFFFFF" o:title=""/>
            <o:lock v:ext="edit" aspectratio="t"/>
            <w10:wrap type="none"/>
            <w10:anchorlock/>
          </v:shape>
        </w:pict>
      </w:r>
      <w:r>
        <w:rPr>
          <w:color w:val="auto"/>
          <w:sz w:val="24"/>
        </w:rPr>
        <w:instrText xml:space="preserve"> </w:instrText>
      </w:r>
      <w:r>
        <w:rPr>
          <w:color w:val="auto"/>
          <w:sz w:val="24"/>
        </w:rPr>
        <w:fldChar w:fldCharType="separate"/>
      </w:r>
      <w:r>
        <w:rPr>
          <w:color w:val="auto"/>
          <w:sz w:val="24"/>
        </w:rPr>
        <w:fldChar w:fldCharType="end"/>
      </w:r>
      <w:r>
        <w:rPr>
          <w:color w:val="auto"/>
          <w:sz w:val="24"/>
        </w:rPr>
        <w:t>——</w:t>
      </w:r>
      <w:r>
        <w:rPr>
          <w:rFonts w:hint="eastAsia"/>
          <w:color w:val="auto"/>
          <w:sz w:val="24"/>
          <w:lang w:val="en-US" w:eastAsia="zh-CN"/>
        </w:rPr>
        <w:t xml:space="preserve"> </w:t>
      </w:r>
      <w:r>
        <w:rPr>
          <w:rFonts w:hint="eastAsia"/>
          <w:color w:val="auto"/>
          <w:sz w:val="24"/>
        </w:rPr>
        <w:t>水的密度（</w:t>
      </w:r>
      <w:r>
        <w:rPr>
          <w:color w:val="auto"/>
          <w:sz w:val="24"/>
        </w:rPr>
        <w:t>kg/m</w:t>
      </w:r>
      <w:r>
        <w:rPr>
          <w:color w:val="auto"/>
          <w:sz w:val="24"/>
          <w:vertAlign w:val="superscript"/>
        </w:rPr>
        <w:t>3</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exact"/>
        <w:ind w:firstLine="918" w:firstLineChars="328"/>
        <w:textAlignment w:val="auto"/>
        <w:rPr>
          <w:color w:val="auto"/>
          <w:sz w:val="24"/>
        </w:rPr>
      </w:pPr>
      <w:r>
        <w:rPr>
          <w:color w:val="auto"/>
          <w:sz w:val="28"/>
          <w:szCs w:val="28"/>
        </w:rPr>
        <w:t>K</w:t>
      </w:r>
      <w:r>
        <w:rPr>
          <w:rFonts w:hint="eastAsia"/>
          <w:color w:val="auto"/>
          <w:sz w:val="28"/>
          <w:szCs w:val="28"/>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砂浆剩余系数；</w:t>
      </w:r>
      <w:r>
        <w:rPr>
          <w:color w:val="auto"/>
          <w:sz w:val="24"/>
        </w:rPr>
        <w:t xml:space="preserve">    </w:t>
      </w:r>
      <w:r>
        <w:rPr>
          <w:color w:val="auto"/>
          <w:sz w:val="24"/>
        </w:rPr>
        <w:fldChar w:fldCharType="begin"/>
      </w:r>
      <w:r>
        <w:rPr>
          <w:color w:val="auto"/>
          <w:sz w:val="24"/>
        </w:rPr>
        <w:instrText xml:space="preserve"> QUOTE </w:instrText>
      </w:r>
      <w:r>
        <w:rPr>
          <w:rFonts w:hint="eastAsia"/>
          <w:color w:val="auto"/>
          <w:sz w:val="24"/>
        </w:rPr>
        <w:pict>
          <v:shape id="_x0000_i1033" o:spt="75" type="#_x0000_t75" style="height:21pt;width:18.75pt;" filled="f" stroked="f" coordsize="21600,21600" equationxml="&lt;?xml version=&quot;1.0&quot; encoding=&quot;UTF-8&quot; standalone=&quot;yes&quot;?&gt;&#13;&#13;&lt;?mso-application progid=&quot;Word.Document&quot;?&gt;&#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E5FA1&quot;/&gt;&lt;wsp:rsid wsp:val=&quot;00004268&quot;/&gt;&lt;wsp:rsid wsp:val=&quot;00052695&quot;/&gt;&lt;wsp:rsid wsp:val=&quot;00070326&quot;/&gt;&lt;wsp:rsid wsp:val=&quot;00082DBA&quot;/&gt;&lt;wsp:rsid wsp:val=&quot;000C794F&quot;/&gt;&lt;wsp:rsid wsp:val=&quot;001D76D8&quot;/&gt;&lt;wsp:rsid wsp:val=&quot;001E5FA1&quot;/&gt;&lt;wsp:rsid wsp:val=&quot;002D66B6&quot;/&gt;&lt;wsp:rsid wsp:val=&quot;002D7FA7&quot;/&gt;&lt;wsp:rsid wsp:val=&quot;0030222B&quot;/&gt;&lt;wsp:rsid wsp:val=&quot;00315F4C&quot;/&gt;&lt;wsp:rsid wsp:val=&quot;00333F5D&quot;/&gt;&lt;wsp:rsid wsp:val=&quot;0035211A&quot;/&gt;&lt;wsp:rsid wsp:val=&quot;003C3866&quot;/&gt;&lt;wsp:rsid wsp:val=&quot;0044214F&quot;/&gt;&lt;wsp:rsid wsp:val=&quot;004503C5&quot;/&gt;&lt;wsp:rsid wsp:val=&quot;00463D89&quot;/&gt;&lt;wsp:rsid wsp:val=&quot;004675BA&quot;/&gt;&lt;wsp:rsid wsp:val=&quot;004A5E71&quot;/&gt;&lt;wsp:rsid wsp:val=&quot;004F47F6&quot;/&gt;&lt;wsp:rsid wsp:val=&quot;005153E7&quot;/&gt;&lt;wsp:rsid wsp:val=&quot;00551E0D&quot;/&gt;&lt;wsp:rsid wsp:val=&quot;005B79BC&quot;/&gt;&lt;wsp:rsid wsp:val=&quot;005F153A&quot;/&gt;&lt;wsp:rsid wsp:val=&quot;0065647E&quot;/&gt;&lt;wsp:rsid wsp:val=&quot;00660EA0&quot;/&gt;&lt;wsp:rsid wsp:val=&quot;00684701&quot;/&gt;&lt;wsp:rsid wsp:val=&quot;006F59A8&quot;/&gt;&lt;wsp:rsid wsp:val=&quot;00727052&quot;/&gt;&lt;wsp:rsid wsp:val=&quot;007A4FDA&quot;/&gt;&lt;wsp:rsid wsp:val=&quot;007D0A1E&quot;/&gt;&lt;wsp:rsid wsp:val=&quot;007F77D2&quot;/&gt;&lt;wsp:rsid wsp:val=&quot;00837039&quot;/&gt;&lt;wsp:rsid wsp:val=&quot;008A5AD5&quot;/&gt;&lt;wsp:rsid wsp:val=&quot;00926212&quot;/&gt;&lt;wsp:rsid wsp:val=&quot;00956192&quot;/&gt;&lt;wsp:rsid wsp:val=&quot;00983F4D&quot;/&gt;&lt;wsp:rsid wsp:val=&quot;009F2844&quot;/&gt;&lt;wsp:rsid wsp:val=&quot;00B901BB&quot;/&gt;&lt;wsp:rsid wsp:val=&quot;00BC66AD&quot;/&gt;&lt;wsp:rsid wsp:val=&quot;00BD39FD&quot;/&gt;&lt;wsp:rsid wsp:val=&quot;00C82765&quot;/&gt;&lt;wsp:rsid wsp:val=&quot;00D37D88&quot;/&gt;&lt;wsp:rsid wsp:val=&quot;00D639DF&quot;/&gt;&lt;wsp:rsid wsp:val=&quot;00DA3D55&quot;/&gt;&lt;wsp:rsid wsp:val=&quot;00E10A9C&quot;/&gt;&lt;wsp:rsid wsp:val=&quot;00E1635D&quot;/&gt;&lt;wsp:rsid wsp:val=&quot;00E25ABE&quot;/&gt;&lt;wsp:rsid wsp:val=&quot;00E627DD&quot;/&gt;&lt;wsp:rsid wsp:val=&quot;00EE457D&quot;/&gt;&lt;wsp:rsid wsp:val=&quot;00F65D6A&quot;/&gt;&lt;wsp:rsid wsp:val=&quot;00FC3CD8&quot;/&gt;&lt;wsp:rsid wsp:val=&quot;00FE50DA&quot;/&gt;&lt;wsp:rsid wsp:val=&quot;00FF0082&quot;/&gt;&lt;wsp:rsid wsp:val=&quot;532E1FF1&quot;/&gt;&lt;wsp:rsid wsp:val=&quot;56F40E72&quot;/&gt;&lt;/wsp:rsids&gt;&lt;/w:docPr&gt;&lt;w:body&gt;&lt;w:p wsp:rsidR=&quot;00000000&quot; wsp:rsidRDefault=&quot;00EE457D&quot;&gt;&lt;m:oMathPara&gt;&lt;m:oMath&gt;&lt;m:r&gt;&lt;w:rPr&gt;&lt;w:rFonts w:ascii=&quot;Cambria Math&quot; w:h-ansi=&quot;Cambria Math&quot; w:hint=&quot;fareast&quot;/&gt;&lt;wx:font wx:val=&quot;Cambria Math&quot;/&gt;&lt;w:i/&gt;&lt;w:kern w:val=&quot;0&quot;/&gt;&lt;w:sz w:val=&quot;36&quot;/&gt;&lt;w:sz-cs w:val=&quot;36&quot;/&gt;&lt;w:vertAlign w:val=&quot;subscript&quot;/&gt;&lt;/w:rPr&gt;&lt;m:t&gt;K&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1" chromakey="#FFFFFF" o:title=""/>
            <o:lock v:ext="edit" aspectratio="t"/>
            <w10:wrap type="none"/>
            <w10:anchorlock/>
          </v:shape>
        </w:pict>
      </w:r>
      <w:r>
        <w:rPr>
          <w:color w:val="auto"/>
          <w:sz w:val="24"/>
        </w:rPr>
        <w:instrText xml:space="preserve"> </w:instrText>
      </w:r>
      <w:r>
        <w:rPr>
          <w:color w:val="auto"/>
          <w:sz w:val="24"/>
        </w:rPr>
        <w:fldChar w:fldCharType="separate"/>
      </w:r>
      <w:r>
        <w:rPr>
          <w:color w:val="auto"/>
          <w:sz w:val="24"/>
        </w:rPr>
        <w:fldChar w:fldCharType="end"/>
      </w:r>
    </w:p>
    <w:p>
      <w:pPr>
        <w:pageBreakBefore w:val="0"/>
        <w:widowControl w:val="0"/>
        <w:kinsoku/>
        <w:wordWrap/>
        <w:overflowPunct/>
        <w:topLinePunct w:val="0"/>
        <w:autoSpaceDE/>
        <w:autoSpaceDN/>
        <w:bidi w:val="0"/>
        <w:adjustRightInd/>
        <w:snapToGrid/>
        <w:spacing w:line="480" w:lineRule="exact"/>
        <w:ind w:firstLine="918" w:firstLineChars="328"/>
        <w:textAlignment w:val="auto"/>
        <w:rPr>
          <w:rFonts w:hint="eastAsia"/>
          <w:color w:val="auto"/>
          <w:sz w:val="24"/>
          <w:lang w:eastAsia="zh-CN"/>
        </w:rPr>
      </w:pPr>
      <w:r>
        <w:rPr>
          <w:rFonts w:hint="eastAsia"/>
          <w:color w:val="auto"/>
          <w:sz w:val="28"/>
          <w:szCs w:val="28"/>
          <w:lang w:val="en-US" w:eastAsia="zh-CN"/>
        </w:rPr>
        <w:t>P</w:t>
      </w:r>
      <w:r>
        <w:rPr>
          <w:rFonts w:hint="eastAsia"/>
          <w:color w:val="auto"/>
          <w:sz w:val="24"/>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粗骨料的</w:t>
      </w:r>
      <w:r>
        <w:rPr>
          <w:rFonts w:hint="eastAsia"/>
          <w:color w:val="auto"/>
          <w:sz w:val="24"/>
          <w:lang w:eastAsia="zh-CN"/>
        </w:rPr>
        <w:t>空</w:t>
      </w:r>
      <w:r>
        <w:rPr>
          <w:rFonts w:hint="eastAsia"/>
          <w:color w:val="auto"/>
          <w:sz w:val="24"/>
        </w:rPr>
        <w:t>隙率（</w:t>
      </w:r>
      <w:r>
        <w:rPr>
          <w:color w:val="auto"/>
          <w:sz w:val="24"/>
        </w:rPr>
        <w:t>%</w:t>
      </w:r>
      <w:r>
        <w:rPr>
          <w:rFonts w:hint="eastAsia"/>
          <w:color w:val="auto"/>
          <w:sz w:val="24"/>
        </w:rPr>
        <w:t>）</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auto"/>
        <w:ind w:firstLine="1024" w:firstLineChars="427"/>
        <w:textAlignment w:val="auto"/>
        <w:rPr>
          <w:rFonts w:hint="eastAsia"/>
          <w:color w:val="auto"/>
          <w:sz w:val="24"/>
          <w:lang w:eastAsia="zh-CN"/>
        </w:rPr>
      </w:pPr>
      <m:oMath>
        <m:f>
          <m:fPr>
            <m:ctrlPr>
              <w:rPr>
                <w:rFonts w:ascii="Cambria Math" w:hAnsi="Cambria Math" w:cs="宋体"/>
                <w:i/>
                <w:color w:val="auto"/>
                <w:sz w:val="24"/>
                <w:szCs w:val="24"/>
                <w:lang w:val="en-US"/>
              </w:rPr>
            </m:ctrlPr>
          </m:fPr>
          <m:num>
            <m:r>
              <m:rPr/>
              <w:rPr>
                <w:rFonts w:hint="default" w:ascii="Cambria Math" w:hAnsi="Cambria Math" w:cs="宋体"/>
                <w:color w:val="auto"/>
                <w:sz w:val="24"/>
                <w:szCs w:val="24"/>
                <w:lang w:val="en-US" w:eastAsia="zh-CN"/>
              </w:rPr>
              <m:t>W</m:t>
            </m:r>
            <m:ctrlPr>
              <w:rPr>
                <w:rFonts w:ascii="Cambria Math" w:hAnsi="Cambria Math" w:cs="宋体"/>
                <w:i/>
                <w:color w:val="auto"/>
                <w:sz w:val="24"/>
                <w:szCs w:val="24"/>
                <w:lang w:val="en-US"/>
              </w:rPr>
            </m:ctrlPr>
          </m:num>
          <m:den>
            <m:r>
              <m:rPr/>
              <w:rPr>
                <w:rFonts w:hint="default" w:ascii="Cambria Math" w:hAnsi="Cambria Math" w:cs="宋体"/>
                <w:color w:val="auto"/>
                <w:sz w:val="24"/>
                <w:szCs w:val="24"/>
                <w:lang w:val="en-US" w:eastAsia="zh-CN"/>
              </w:rPr>
              <m:t>B</m:t>
            </m:r>
            <m:ctrlPr>
              <w:rPr>
                <w:rFonts w:ascii="Cambria Math" w:hAnsi="Cambria Math" w:cs="宋体"/>
                <w:i/>
                <w:color w:val="auto"/>
                <w:sz w:val="24"/>
                <w:szCs w:val="24"/>
                <w:lang w:val="en-US"/>
              </w:rPr>
            </m:ctrlPr>
          </m:den>
        </m:f>
      </m:oMath>
      <w:r>
        <w:rPr>
          <w:rFonts w:hint="eastAsia" w:hAnsi="Cambria Math" w:cs="宋体"/>
          <w:i w:val="0"/>
          <w:color w:val="auto"/>
          <w:sz w:val="21"/>
          <w:szCs w:val="21"/>
          <w:lang w:val="en-US" w:eastAsia="zh-CN"/>
        </w:rPr>
        <w:t xml:space="preserve">  </w:t>
      </w:r>
      <w:r>
        <w:rPr>
          <w:color w:val="auto"/>
          <w:sz w:val="24"/>
        </w:rPr>
        <w:t>——</w:t>
      </w:r>
      <w:r>
        <w:rPr>
          <w:rFonts w:hint="eastAsia"/>
          <w:color w:val="auto"/>
          <w:sz w:val="24"/>
          <w:lang w:val="en-US" w:eastAsia="zh-CN"/>
        </w:rPr>
        <w:t xml:space="preserve"> </w:t>
      </w:r>
      <w:r>
        <w:rPr>
          <w:rFonts w:hint="eastAsia"/>
          <w:color w:val="auto"/>
          <w:sz w:val="24"/>
        </w:rPr>
        <w:t>混凝土水胶比</w:t>
      </w:r>
      <w:r>
        <w:rPr>
          <w:rFonts w:hint="eastAsia"/>
          <w:color w:val="auto"/>
          <w:sz w:val="24"/>
          <w:lang w:eastAsia="zh-CN"/>
        </w:rPr>
        <w:t>；</w:t>
      </w:r>
    </w:p>
    <w:p>
      <w:pPr>
        <w:pageBreakBefore w:val="0"/>
        <w:widowControl w:val="0"/>
        <w:kinsoku/>
        <w:wordWrap/>
        <w:overflowPunct/>
        <w:topLinePunct w:val="0"/>
        <w:autoSpaceDE/>
        <w:autoSpaceDN/>
        <w:bidi w:val="0"/>
        <w:adjustRightInd/>
        <w:snapToGrid/>
        <w:spacing w:line="480" w:lineRule="auto"/>
        <w:ind w:firstLine="918" w:firstLineChars="328"/>
        <w:textAlignment w:val="auto"/>
        <w:rPr>
          <w:rFonts w:hint="eastAsia" w:eastAsia="宋体"/>
          <w:b w:val="0"/>
          <w:bCs w:val="0"/>
          <w:color w:val="auto"/>
          <w:sz w:val="24"/>
          <w:lang w:eastAsia="zh-CN"/>
        </w:rPr>
      </w:pPr>
      <w:r>
        <w:rPr>
          <w:b w:val="0"/>
          <w:bCs w:val="0"/>
          <w:color w:val="auto"/>
          <w:sz w:val="28"/>
          <w:szCs w:val="21"/>
        </w:rPr>
        <w:t>n</w:t>
      </w:r>
      <w:r>
        <w:rPr>
          <w:rFonts w:hint="eastAsia"/>
          <w:b w:val="0"/>
          <w:bCs w:val="0"/>
          <w:color w:val="auto"/>
          <w:sz w:val="28"/>
          <w:szCs w:val="21"/>
          <w:lang w:val="en-US" w:eastAsia="zh-CN"/>
        </w:rPr>
        <w:t xml:space="preserve">  </w:t>
      </w:r>
      <w:r>
        <w:rPr>
          <w:b w:val="0"/>
          <w:bCs w:val="0"/>
          <w:color w:val="auto"/>
          <w:sz w:val="24"/>
        </w:rPr>
        <w:t>——</w:t>
      </w:r>
      <w:r>
        <w:rPr>
          <w:rFonts w:hint="eastAsia"/>
          <w:b w:val="0"/>
          <w:bCs w:val="0"/>
          <w:color w:val="auto"/>
          <w:sz w:val="24"/>
          <w:lang w:val="en-US" w:eastAsia="zh-CN"/>
        </w:rPr>
        <w:t xml:space="preserve"> </w:t>
      </w:r>
      <w:r>
        <w:rPr>
          <w:rFonts w:hint="eastAsia"/>
          <w:b w:val="0"/>
          <w:bCs w:val="0"/>
          <w:color w:val="auto"/>
          <w:sz w:val="24"/>
        </w:rPr>
        <w:t>试件组数</w:t>
      </w:r>
      <w:r>
        <w:rPr>
          <w:rFonts w:hint="eastAsia"/>
          <w:b w:val="0"/>
          <w:bCs w:val="0"/>
          <w:color w:val="auto"/>
          <w:sz w:val="24"/>
          <w:lang w:eastAsia="zh-CN"/>
        </w:rPr>
        <w:t>。</w:t>
      </w:r>
    </w:p>
    <w:p>
      <w:pPr>
        <w:pStyle w:val="2"/>
        <w:jc w:val="both"/>
        <w:outlineLvl w:val="9"/>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keepNext/>
        <w:keepLines/>
        <w:pageBreakBefore w:val="0"/>
        <w:widowControl w:val="0"/>
        <w:kinsoku/>
        <w:wordWrap/>
        <w:overflowPunct/>
        <w:topLinePunct w:val="0"/>
        <w:autoSpaceDE/>
        <w:autoSpaceDN/>
        <w:bidi w:val="0"/>
        <w:adjustRightInd/>
        <w:snapToGrid/>
        <w:textAlignment w:val="auto"/>
        <w:rPr>
          <w:color w:val="auto"/>
        </w:rPr>
      </w:pPr>
      <w:bookmarkStart w:id="39" w:name="_Toc21835"/>
      <w:bookmarkStart w:id="40" w:name="_Toc31554"/>
      <w:r>
        <w:rPr>
          <w:color w:val="auto"/>
        </w:rPr>
        <w:t>3  基本规定</w:t>
      </w:r>
      <w:bookmarkEnd w:id="21"/>
      <w:bookmarkEnd w:id="22"/>
      <w:bookmarkEnd w:id="23"/>
      <w:bookmarkEnd w:id="24"/>
      <w:bookmarkEnd w:id="25"/>
      <w:bookmarkEnd w:id="26"/>
      <w:bookmarkEnd w:id="39"/>
      <w:bookmarkEnd w:id="40"/>
    </w:p>
    <w:bookmarkEnd w:id="27"/>
    <w:bookmarkEnd w:id="28"/>
    <w:p>
      <w:pPr>
        <w:pStyle w:val="22"/>
        <w:rPr>
          <w:rFonts w:hint="eastAsia"/>
          <w:color w:val="auto"/>
          <w:sz w:val="24"/>
        </w:rPr>
      </w:pPr>
      <w:bookmarkStart w:id="41" w:name="_Toc32572"/>
      <w:bookmarkStart w:id="42" w:name="_Toc536783662"/>
      <w:r>
        <w:rPr>
          <w:b/>
          <w:bCs/>
          <w:color w:val="auto"/>
          <w:sz w:val="24"/>
        </w:rPr>
        <w:t>3.0.1</w:t>
      </w:r>
      <w:r>
        <w:rPr>
          <w:rFonts w:hint="eastAsia"/>
          <w:b/>
          <w:bCs/>
          <w:color w:val="auto"/>
          <w:sz w:val="24"/>
        </w:rPr>
        <w:t xml:space="preserve"> </w:t>
      </w:r>
      <w:r>
        <w:rPr>
          <w:b/>
          <w:bCs/>
          <w:color w:val="auto"/>
          <w:sz w:val="24"/>
        </w:rPr>
        <w:t xml:space="preserve"> </w:t>
      </w:r>
      <w:r>
        <w:rPr>
          <w:rFonts w:hint="eastAsia"/>
          <w:bCs/>
          <w:color w:val="auto"/>
          <w:sz w:val="24"/>
        </w:rPr>
        <w:t>用于生产特细砂混凝土的原材料的质量及检验方法应符合本规程及国家、行业和安徽省现行相关标准的规定。</w:t>
      </w:r>
    </w:p>
    <w:p>
      <w:pPr>
        <w:spacing w:line="360" w:lineRule="auto"/>
        <w:rPr>
          <w:rFonts w:hint="eastAsia"/>
          <w:color w:val="auto"/>
          <w:sz w:val="24"/>
        </w:rPr>
      </w:pPr>
      <w:r>
        <w:rPr>
          <w:b/>
          <w:bCs/>
          <w:color w:val="auto"/>
          <w:sz w:val="24"/>
        </w:rPr>
        <w:t>3.0.2</w:t>
      </w:r>
      <w:r>
        <w:rPr>
          <w:rFonts w:hint="eastAsia"/>
          <w:b/>
          <w:bCs/>
          <w:color w:val="auto"/>
          <w:sz w:val="24"/>
        </w:rPr>
        <w:t xml:space="preserve">  </w:t>
      </w:r>
      <w:r>
        <w:rPr>
          <w:rFonts w:hint="eastAsia"/>
          <w:bCs/>
          <w:color w:val="auto"/>
          <w:sz w:val="24"/>
        </w:rPr>
        <w:t>特细砂混凝土配合比设计可依据《普通混凝土配合比设计规程》JGJ55进行，遵循保证混凝土质量、经济合理、节约资源的原则，满足混凝土</w:t>
      </w:r>
      <w:r>
        <w:rPr>
          <w:rFonts w:hint="eastAsia"/>
          <w:bCs/>
          <w:color w:val="auto"/>
          <w:sz w:val="24"/>
        </w:rPr>
        <w:t>拌合物性能、力学性能</w:t>
      </w:r>
      <w:r>
        <w:rPr>
          <w:rFonts w:hint="eastAsia"/>
          <w:bCs/>
          <w:color w:val="auto"/>
          <w:sz w:val="24"/>
        </w:rPr>
        <w:t>、长期性能和耐久性能的设计要求。对抗裂性能有特殊要求时，应通过混凝土早期抗裂试验和收缩试验对设计配合比予以调整确认。</w:t>
      </w:r>
    </w:p>
    <w:p>
      <w:pPr>
        <w:spacing w:line="360" w:lineRule="auto"/>
        <w:rPr>
          <w:rFonts w:hint="eastAsia"/>
          <w:bCs/>
          <w:color w:val="auto"/>
          <w:sz w:val="24"/>
        </w:rPr>
      </w:pPr>
      <w:r>
        <w:rPr>
          <w:b/>
          <w:bCs/>
          <w:color w:val="auto"/>
          <w:sz w:val="24"/>
        </w:rPr>
        <w:t>3.0.</w:t>
      </w:r>
      <w:r>
        <w:rPr>
          <w:rFonts w:hint="eastAsia"/>
          <w:b/>
          <w:bCs/>
          <w:color w:val="auto"/>
          <w:sz w:val="24"/>
        </w:rPr>
        <w:t>3</w:t>
      </w:r>
      <w:r>
        <w:rPr>
          <w:b/>
          <w:bCs/>
          <w:color w:val="auto"/>
          <w:sz w:val="24"/>
        </w:rPr>
        <w:t xml:space="preserve">  </w:t>
      </w:r>
      <w:r>
        <w:rPr>
          <w:rFonts w:hint="eastAsia"/>
          <w:bCs/>
          <w:color w:val="auto"/>
          <w:sz w:val="24"/>
        </w:rPr>
        <w:t>特细砂混凝土强度等级不</w:t>
      </w:r>
      <w:r>
        <w:rPr>
          <w:rFonts w:hint="eastAsia" w:cs="Times New Roman"/>
          <w:color w:val="auto"/>
          <w:sz w:val="24"/>
          <w:highlight w:val="none"/>
          <w:lang w:val="en-US" w:eastAsia="zh-CN"/>
        </w:rPr>
        <w:t>宜</w:t>
      </w:r>
      <w:r>
        <w:rPr>
          <w:rFonts w:hint="eastAsia"/>
          <w:bCs/>
          <w:color w:val="auto"/>
          <w:sz w:val="24"/>
        </w:rPr>
        <w:t>超过C50。</w:t>
      </w:r>
    </w:p>
    <w:p>
      <w:pPr>
        <w:spacing w:line="500" w:lineRule="exact"/>
        <w:rPr>
          <w:rFonts w:hint="eastAsia"/>
          <w:color w:val="auto"/>
          <w:sz w:val="24"/>
        </w:rPr>
      </w:pPr>
      <w:r>
        <w:rPr>
          <w:b/>
          <w:bCs/>
          <w:color w:val="auto"/>
          <w:sz w:val="24"/>
        </w:rPr>
        <w:t>3.0.</w:t>
      </w:r>
      <w:r>
        <w:rPr>
          <w:rFonts w:hint="eastAsia"/>
          <w:b/>
          <w:bCs/>
          <w:color w:val="auto"/>
          <w:sz w:val="24"/>
        </w:rPr>
        <w:t>4</w:t>
      </w:r>
      <w:r>
        <w:rPr>
          <w:b/>
          <w:bCs/>
          <w:color w:val="auto"/>
          <w:sz w:val="24"/>
        </w:rPr>
        <w:t xml:space="preserve"> </w:t>
      </w:r>
      <w:r>
        <w:rPr>
          <w:rFonts w:hint="eastAsia"/>
          <w:b/>
          <w:bCs/>
          <w:color w:val="auto"/>
          <w:sz w:val="24"/>
        </w:rPr>
        <w:t xml:space="preserve"> </w:t>
      </w:r>
      <w:r>
        <w:rPr>
          <w:rFonts w:hint="eastAsia"/>
          <w:bCs/>
          <w:color w:val="auto"/>
          <w:sz w:val="24"/>
        </w:rPr>
        <w:t>特细砂混凝土的拌合物性能、力学性能、长期性能和耐久性能应符合现行国家标准</w:t>
      </w:r>
      <w:r>
        <w:rPr>
          <w:bCs/>
          <w:color w:val="auto"/>
          <w:sz w:val="24"/>
        </w:rPr>
        <w:t>《混凝土质量控制标准》GB 50164</w:t>
      </w:r>
      <w:r>
        <w:rPr>
          <w:rFonts w:hint="eastAsia"/>
          <w:bCs/>
          <w:color w:val="auto"/>
          <w:sz w:val="24"/>
        </w:rPr>
        <w:t>、</w:t>
      </w:r>
      <w:r>
        <w:rPr>
          <w:bCs/>
          <w:color w:val="auto"/>
          <w:sz w:val="24"/>
        </w:rPr>
        <w:t>《混凝土结构设计规范》GB 50010</w:t>
      </w:r>
      <w:r>
        <w:rPr>
          <w:rFonts w:hint="eastAsia"/>
          <w:bCs/>
          <w:color w:val="auto"/>
          <w:sz w:val="24"/>
        </w:rPr>
        <w:t>及</w:t>
      </w:r>
      <w:r>
        <w:rPr>
          <w:bCs/>
          <w:color w:val="auto"/>
          <w:sz w:val="24"/>
        </w:rPr>
        <w:t>《混凝土结构耐久性设计标准》GB/T 50476</w:t>
      </w:r>
      <w:r>
        <w:rPr>
          <w:rFonts w:hint="eastAsia"/>
          <w:bCs/>
          <w:color w:val="auto"/>
          <w:sz w:val="24"/>
        </w:rPr>
        <w:t>等的规定。</w:t>
      </w:r>
    </w:p>
    <w:p>
      <w:pPr>
        <w:spacing w:line="360" w:lineRule="auto"/>
        <w:rPr>
          <w:rFonts w:ascii="宋体" w:hAnsi="宋体"/>
          <w:bCs/>
          <w:color w:val="auto"/>
          <w:sz w:val="24"/>
        </w:rPr>
        <w:sectPr>
          <w:pgSz w:w="11906" w:h="16838"/>
          <w:pgMar w:top="1440" w:right="1800" w:bottom="1440" w:left="180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7" w:beforeLines="50" w:after="100" w:line="600" w:lineRule="auto"/>
        <w:textAlignment w:val="auto"/>
        <w:outlineLvl w:val="1"/>
        <w:rPr>
          <w:color w:val="auto"/>
        </w:rPr>
      </w:pPr>
      <w:bookmarkStart w:id="43" w:name="_Toc17783"/>
      <w:bookmarkStart w:id="44" w:name="_Toc7833"/>
      <w:bookmarkStart w:id="45" w:name="_Toc29687"/>
      <w:bookmarkStart w:id="46" w:name="_Toc10052"/>
      <w:bookmarkStart w:id="47" w:name="_Toc14927"/>
      <w:bookmarkStart w:id="48" w:name="_Toc2321"/>
      <w:bookmarkStart w:id="49" w:name="_Toc12831"/>
      <w:bookmarkStart w:id="50" w:name="_Toc22467"/>
      <w:r>
        <w:rPr>
          <w:rFonts w:hint="eastAsia"/>
          <w:color w:val="auto"/>
          <w:sz w:val="30"/>
          <w:szCs w:val="30"/>
        </w:rPr>
        <w:t>4</w:t>
      </w:r>
      <w:r>
        <w:rPr>
          <w:color w:val="auto"/>
          <w:sz w:val="30"/>
          <w:szCs w:val="30"/>
        </w:rPr>
        <w:t xml:space="preserve">  </w:t>
      </w:r>
      <w:bookmarkEnd w:id="41"/>
      <w:bookmarkEnd w:id="42"/>
      <w:bookmarkEnd w:id="43"/>
      <w:bookmarkEnd w:id="44"/>
      <w:bookmarkEnd w:id="45"/>
      <w:bookmarkEnd w:id="46"/>
      <w:bookmarkEnd w:id="47"/>
      <w:bookmarkEnd w:id="48"/>
      <w:r>
        <w:rPr>
          <w:rFonts w:hint="eastAsia"/>
          <w:color w:val="auto"/>
          <w:sz w:val="30"/>
          <w:szCs w:val="30"/>
          <w:lang w:eastAsia="zh-CN"/>
        </w:rPr>
        <w:t>特细砂</w:t>
      </w:r>
      <w:r>
        <w:rPr>
          <w:rFonts w:hint="default" w:ascii="Cambria Math" w:hAnsi="Cambria Math" w:eastAsia="宋体"/>
          <w:color w:val="auto"/>
          <w:sz w:val="28"/>
          <w:szCs w:val="28"/>
        </w:rPr>
        <w:br w:type="textWrapping"/>
      </w:r>
      <w:r>
        <w:rPr>
          <w:color w:val="auto"/>
        </w:rPr>
        <w:t xml:space="preserve">4.1 </w:t>
      </w:r>
      <w:r>
        <w:rPr>
          <w:rFonts w:hint="eastAsia"/>
          <w:color w:val="auto"/>
        </w:rPr>
        <w:t xml:space="preserve"> 质量要求</w:t>
      </w:r>
      <w:bookmarkEnd w:id="49"/>
      <w:bookmarkEnd w:id="50"/>
    </w:p>
    <w:p>
      <w:pPr>
        <w:spacing w:line="360" w:lineRule="auto"/>
        <w:rPr>
          <w:bCs/>
          <w:color w:val="auto"/>
          <w:sz w:val="24"/>
        </w:rPr>
      </w:pPr>
      <w:r>
        <w:rPr>
          <w:b/>
          <w:bCs/>
          <w:color w:val="auto"/>
          <w:sz w:val="24"/>
        </w:rPr>
        <w:t>4.1.1</w:t>
      </w:r>
      <w:r>
        <w:rPr>
          <w:rFonts w:hint="eastAsia"/>
          <w:b/>
          <w:bCs/>
          <w:color w:val="auto"/>
          <w:sz w:val="24"/>
          <w:lang w:val="en-US" w:eastAsia="zh-CN"/>
        </w:rPr>
        <w:t xml:space="preserve"> </w:t>
      </w:r>
      <w:r>
        <w:rPr>
          <w:bCs/>
          <w:color w:val="auto"/>
          <w:sz w:val="24"/>
        </w:rPr>
        <w:t xml:space="preserve"> </w:t>
      </w:r>
      <w:r>
        <w:rPr>
          <w:rFonts w:hint="eastAsia"/>
          <w:bCs/>
          <w:color w:val="auto"/>
          <w:sz w:val="24"/>
        </w:rPr>
        <w:t>特细砂的细度模数</w:t>
      </w:r>
      <w:r>
        <w:rPr>
          <w:rFonts w:hint="eastAsia" w:ascii="宋体" w:hAnsi="宋体" w:eastAsia="宋体" w:cs="宋体"/>
          <w:b w:val="0"/>
          <w:bCs w:val="0"/>
          <w:color w:val="auto"/>
          <w:sz w:val="28"/>
          <w:szCs w:val="21"/>
          <w:vertAlign w:val="baseline"/>
          <w:lang w:eastAsia="zh-CN"/>
        </w:rPr>
        <w:t>μ</w:t>
      </w:r>
      <w:r>
        <w:rPr>
          <w:rFonts w:hint="eastAsia" w:ascii="宋体" w:hAnsi="宋体" w:cs="宋体"/>
          <w:b w:val="0"/>
          <w:bCs w:val="0"/>
          <w:color w:val="auto"/>
          <w:sz w:val="28"/>
          <w:szCs w:val="21"/>
          <w:vertAlign w:val="subscript"/>
          <w:lang w:val="en-US" w:eastAsia="zh-CN"/>
        </w:rPr>
        <w:t xml:space="preserve">f </w:t>
      </w:r>
      <w:r>
        <w:rPr>
          <w:rFonts w:hint="eastAsia"/>
          <w:bCs/>
          <w:color w:val="auto"/>
          <w:sz w:val="24"/>
        </w:rPr>
        <w:t>范围</w:t>
      </w:r>
      <w:r>
        <w:rPr>
          <w:rFonts w:hint="eastAsia"/>
          <w:bCs/>
          <w:color w:val="auto"/>
          <w:sz w:val="24"/>
        </w:rPr>
        <w:t>应</w:t>
      </w:r>
      <w:r>
        <w:rPr>
          <w:rFonts w:hint="eastAsia"/>
          <w:bCs/>
          <w:color w:val="auto"/>
          <w:sz w:val="24"/>
        </w:rPr>
        <w:t>符合</w:t>
      </w:r>
      <w:r>
        <w:rPr>
          <w:bCs/>
          <w:color w:val="auto"/>
          <w:sz w:val="24"/>
        </w:rPr>
        <w:t>0.7-1.5</w:t>
      </w:r>
      <w:r>
        <w:rPr>
          <w:rFonts w:hint="eastAsia"/>
          <w:bCs/>
          <w:color w:val="auto"/>
          <w:sz w:val="24"/>
        </w:rPr>
        <w:t>的范围。</w:t>
      </w:r>
    </w:p>
    <w:p>
      <w:pPr>
        <w:spacing w:line="360" w:lineRule="auto"/>
        <w:rPr>
          <w:rFonts w:hint="eastAsia"/>
          <w:bCs/>
          <w:color w:val="auto"/>
          <w:sz w:val="24"/>
        </w:rPr>
      </w:pPr>
      <w:r>
        <w:rPr>
          <w:b/>
          <w:bCs/>
          <w:color w:val="auto"/>
          <w:sz w:val="24"/>
        </w:rPr>
        <w:t>4.1.2</w:t>
      </w:r>
      <w:r>
        <w:rPr>
          <w:bCs/>
          <w:color w:val="auto"/>
          <w:sz w:val="24"/>
        </w:rPr>
        <w:t xml:space="preserve"> </w:t>
      </w:r>
      <w:r>
        <w:rPr>
          <w:rFonts w:hint="eastAsia"/>
          <w:bCs/>
          <w:color w:val="auto"/>
          <w:sz w:val="24"/>
          <w:lang w:val="en-US" w:eastAsia="zh-CN"/>
        </w:rPr>
        <w:t xml:space="preserve"> </w:t>
      </w:r>
      <w:r>
        <w:rPr>
          <w:rFonts w:hint="eastAsia"/>
          <w:bCs/>
          <w:color w:val="auto"/>
          <w:sz w:val="24"/>
        </w:rPr>
        <w:t>特细砂的颗粒级配范围可不做要求。</w:t>
      </w:r>
    </w:p>
    <w:p>
      <w:pPr>
        <w:spacing w:line="360" w:lineRule="auto"/>
        <w:rPr>
          <w:bCs/>
          <w:color w:val="auto"/>
          <w:sz w:val="24"/>
        </w:rPr>
      </w:pPr>
      <w:r>
        <w:rPr>
          <w:b/>
          <w:bCs/>
          <w:color w:val="auto"/>
          <w:sz w:val="24"/>
        </w:rPr>
        <w:t>4.1.3</w:t>
      </w:r>
      <w:r>
        <w:rPr>
          <w:bCs/>
          <w:color w:val="auto"/>
          <w:sz w:val="24"/>
        </w:rPr>
        <w:t xml:space="preserve"> </w:t>
      </w:r>
      <w:r>
        <w:rPr>
          <w:rFonts w:hint="eastAsia"/>
          <w:bCs/>
          <w:color w:val="auto"/>
          <w:sz w:val="24"/>
          <w:lang w:val="en-US" w:eastAsia="zh-CN"/>
        </w:rPr>
        <w:t xml:space="preserve"> </w:t>
      </w:r>
      <w:r>
        <w:rPr>
          <w:rFonts w:hint="eastAsia"/>
          <w:bCs/>
          <w:color w:val="auto"/>
          <w:sz w:val="24"/>
        </w:rPr>
        <w:t>特细砂的含泥量应符合表4.1.3的规定。</w:t>
      </w:r>
    </w:p>
    <w:p>
      <w:pPr>
        <w:spacing w:line="360" w:lineRule="auto"/>
        <w:jc w:val="center"/>
        <w:rPr>
          <w:b/>
          <w:bCs/>
          <w:color w:val="auto"/>
          <w:sz w:val="24"/>
        </w:rPr>
      </w:pPr>
      <w:r>
        <w:rPr>
          <w:rFonts w:hint="eastAsia"/>
          <w:b/>
          <w:bCs/>
          <w:color w:val="auto"/>
          <w:sz w:val="24"/>
        </w:rPr>
        <w:t>表4.1.3</w:t>
      </w:r>
      <w:r>
        <w:rPr>
          <w:b/>
          <w:bCs/>
          <w:color w:val="auto"/>
          <w:sz w:val="24"/>
        </w:rPr>
        <w:t xml:space="preserve"> </w:t>
      </w:r>
      <w:r>
        <w:rPr>
          <w:rFonts w:hint="eastAsia"/>
          <w:b/>
          <w:bCs/>
          <w:color w:val="auto"/>
          <w:sz w:val="24"/>
          <w:lang w:val="en-US" w:eastAsia="zh-CN"/>
        </w:rPr>
        <w:t xml:space="preserve"> </w:t>
      </w:r>
      <w:r>
        <w:rPr>
          <w:rFonts w:hint="eastAsia"/>
          <w:b/>
          <w:bCs/>
          <w:color w:val="auto"/>
          <w:sz w:val="24"/>
        </w:rPr>
        <w:t>含泥量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noWrap w:val="0"/>
            <w:vAlign w:val="center"/>
          </w:tcPr>
          <w:p>
            <w:pPr>
              <w:spacing w:line="360" w:lineRule="auto"/>
              <w:jc w:val="center"/>
              <w:rPr>
                <w:rFonts w:ascii="宋体" w:hAnsi="宋体"/>
                <w:color w:val="auto"/>
              </w:rPr>
            </w:pPr>
            <w:r>
              <w:rPr>
                <w:rFonts w:hint="eastAsia" w:ascii="宋体" w:hAnsi="宋体"/>
                <w:color w:val="auto"/>
              </w:rPr>
              <w:t>混凝土强度等级</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snapToGrid w:val="0"/>
                <w:color w:val="auto"/>
              </w:rPr>
              <w:t>C</w:t>
            </w:r>
            <w:r>
              <w:rPr>
                <w:rFonts w:hint="default" w:ascii="Times New Roman" w:hAnsi="Times New Roman" w:cs="Times New Roman"/>
                <w:snapToGrid w:val="0"/>
                <w:color w:val="auto"/>
                <w:lang w:val="en-US" w:eastAsia="zh-CN"/>
              </w:rPr>
              <w:t>50</w:t>
            </w:r>
            <w:r>
              <w:rPr>
                <w:rFonts w:hint="default" w:ascii="Times New Roman" w:hAnsi="Times New Roman" w:cs="Times New Roman"/>
                <w:snapToGrid w:val="0"/>
                <w:color w:val="auto"/>
              </w:rPr>
              <w:t>～C30</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snapToGrid w:val="0"/>
                <w:color w:val="auto"/>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noWrap w:val="0"/>
            <w:vAlign w:val="center"/>
          </w:tcPr>
          <w:p>
            <w:pPr>
              <w:spacing w:line="360" w:lineRule="auto"/>
              <w:jc w:val="center"/>
              <w:rPr>
                <w:rFonts w:ascii="宋体" w:hAnsi="宋体"/>
                <w:color w:val="auto"/>
              </w:rPr>
            </w:pPr>
            <w:r>
              <w:rPr>
                <w:rFonts w:hint="eastAsia" w:ascii="宋体" w:hAnsi="宋体"/>
                <w:color w:val="auto"/>
              </w:rPr>
              <w:t>含泥量（按质量计，</w:t>
            </w:r>
            <w:r>
              <w:rPr>
                <w:rFonts w:ascii="宋体" w:hAnsi="宋体"/>
                <w:color w:val="auto"/>
              </w:rPr>
              <w:t>%</w:t>
            </w:r>
            <w:r>
              <w:rPr>
                <w:rFonts w:hint="eastAsia" w:ascii="宋体" w:hAnsi="宋体"/>
                <w:color w:val="auto"/>
              </w:rPr>
              <w:t>）</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snapToGrid w:val="0"/>
                <w:color w:val="auto"/>
              </w:rPr>
              <w:t>≤3.0</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snapToGrid w:val="0"/>
                <w:color w:val="auto"/>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rFonts w:hint="eastAsia"/>
          <w:bCs/>
          <w:color w:val="auto"/>
          <w:sz w:val="24"/>
        </w:rPr>
        <w:t>对有抗冻、抗渗或其它特殊要求的小于或等于</w:t>
      </w:r>
      <w:r>
        <w:rPr>
          <w:bCs/>
          <w:color w:val="auto"/>
          <w:sz w:val="24"/>
        </w:rPr>
        <w:t>C25</w:t>
      </w:r>
      <w:r>
        <w:rPr>
          <w:rFonts w:hint="eastAsia"/>
          <w:bCs/>
          <w:color w:val="auto"/>
          <w:sz w:val="24"/>
        </w:rPr>
        <w:t>混凝土用砂，其含泥量不应大于</w:t>
      </w:r>
      <w:r>
        <w:rPr>
          <w:bCs/>
          <w:color w:val="auto"/>
          <w:sz w:val="24"/>
        </w:rPr>
        <w:t>3.0%</w:t>
      </w:r>
      <w:r>
        <w:rPr>
          <w:rFonts w:hint="eastAsia"/>
          <w:bCs/>
          <w:color w:val="auto"/>
          <w:sz w:val="24"/>
        </w:rPr>
        <w:t>。</w:t>
      </w:r>
    </w:p>
    <w:p>
      <w:pPr>
        <w:spacing w:line="360" w:lineRule="auto"/>
        <w:rPr>
          <w:b/>
          <w:bCs/>
          <w:color w:val="auto"/>
          <w:sz w:val="24"/>
        </w:rPr>
      </w:pPr>
      <w:r>
        <w:rPr>
          <w:b/>
          <w:bCs/>
          <w:color w:val="auto"/>
          <w:sz w:val="24"/>
        </w:rPr>
        <w:t>4.1.4</w:t>
      </w:r>
      <w:r>
        <w:rPr>
          <w:bCs/>
          <w:color w:val="auto"/>
          <w:sz w:val="24"/>
        </w:rPr>
        <w:t xml:space="preserve"> </w:t>
      </w:r>
      <w:r>
        <w:rPr>
          <w:rFonts w:hint="eastAsia"/>
          <w:bCs/>
          <w:color w:val="auto"/>
          <w:sz w:val="24"/>
          <w:lang w:val="en-US" w:eastAsia="zh-CN"/>
        </w:rPr>
        <w:t xml:space="preserve"> </w:t>
      </w:r>
      <w:r>
        <w:rPr>
          <w:rFonts w:hint="eastAsia"/>
          <w:bCs/>
          <w:color w:val="auto"/>
          <w:sz w:val="24"/>
        </w:rPr>
        <w:t>特细砂的泥块含量应符合表4.1.4的规定。</w:t>
      </w:r>
    </w:p>
    <w:p>
      <w:pPr>
        <w:spacing w:line="360" w:lineRule="auto"/>
        <w:jc w:val="center"/>
        <w:rPr>
          <w:b/>
          <w:bCs/>
          <w:color w:val="auto"/>
          <w:sz w:val="24"/>
        </w:rPr>
      </w:pPr>
      <w:r>
        <w:rPr>
          <w:rFonts w:hint="eastAsia"/>
          <w:b/>
          <w:bCs/>
          <w:color w:val="auto"/>
          <w:sz w:val="24"/>
        </w:rPr>
        <w:t>表4.1.4</w:t>
      </w:r>
      <w:r>
        <w:rPr>
          <w:b/>
          <w:bCs/>
          <w:color w:val="auto"/>
          <w:sz w:val="24"/>
        </w:rPr>
        <w:t xml:space="preserve"> </w:t>
      </w:r>
      <w:r>
        <w:rPr>
          <w:rFonts w:hint="eastAsia"/>
          <w:b/>
          <w:bCs/>
          <w:color w:val="auto"/>
          <w:sz w:val="24"/>
          <w:lang w:val="en-US" w:eastAsia="zh-CN"/>
        </w:rPr>
        <w:t xml:space="preserve"> </w:t>
      </w:r>
      <w:r>
        <w:rPr>
          <w:rFonts w:hint="eastAsia"/>
          <w:b/>
          <w:bCs/>
          <w:color w:val="auto"/>
          <w:sz w:val="24"/>
        </w:rPr>
        <w:t>泥块含量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noWrap w:val="0"/>
            <w:vAlign w:val="center"/>
          </w:tcPr>
          <w:p>
            <w:pPr>
              <w:spacing w:line="360" w:lineRule="auto"/>
              <w:jc w:val="center"/>
              <w:rPr>
                <w:rFonts w:ascii="宋体" w:hAnsi="宋体"/>
                <w:color w:val="auto"/>
              </w:rPr>
            </w:pPr>
            <w:r>
              <w:rPr>
                <w:rFonts w:hint="eastAsia" w:ascii="宋体" w:hAnsi="宋体"/>
                <w:color w:val="auto"/>
              </w:rPr>
              <w:t>混凝土强度等级</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snapToGrid w:val="0"/>
                <w:color w:val="auto"/>
              </w:rPr>
              <w:t>C</w:t>
            </w:r>
            <w:r>
              <w:rPr>
                <w:rFonts w:hint="default" w:ascii="Times New Roman" w:hAnsi="Times New Roman" w:cs="Times New Roman"/>
                <w:snapToGrid w:val="0"/>
                <w:color w:val="auto"/>
                <w:lang w:val="en-US" w:eastAsia="zh-CN"/>
              </w:rPr>
              <w:t>50</w:t>
            </w:r>
            <w:r>
              <w:rPr>
                <w:rFonts w:hint="default" w:ascii="Times New Roman" w:hAnsi="Times New Roman" w:cs="Times New Roman"/>
                <w:snapToGrid w:val="0"/>
                <w:color w:val="auto"/>
              </w:rPr>
              <w:t>～C30</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snapToGrid w:val="0"/>
                <w:color w:val="auto"/>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noWrap w:val="0"/>
            <w:vAlign w:val="center"/>
          </w:tcPr>
          <w:p>
            <w:pPr>
              <w:spacing w:line="360" w:lineRule="auto"/>
              <w:jc w:val="center"/>
              <w:rPr>
                <w:rFonts w:ascii="宋体" w:hAnsi="宋体"/>
                <w:color w:val="auto"/>
              </w:rPr>
            </w:pPr>
            <w:r>
              <w:rPr>
                <w:rFonts w:hint="eastAsia" w:ascii="宋体" w:hAnsi="宋体"/>
                <w:color w:val="auto"/>
              </w:rPr>
              <w:t>泥块含量（按质量计，</w:t>
            </w:r>
            <w:r>
              <w:rPr>
                <w:rFonts w:ascii="宋体" w:hAnsi="宋体"/>
                <w:color w:val="auto"/>
              </w:rPr>
              <w:t>%</w:t>
            </w:r>
            <w:r>
              <w:rPr>
                <w:rFonts w:hint="eastAsia" w:ascii="宋体" w:hAnsi="宋体"/>
                <w:color w:val="auto"/>
              </w:rPr>
              <w:t>）</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t>≤1.0</w:t>
            </w:r>
          </w:p>
        </w:tc>
        <w:tc>
          <w:tcPr>
            <w:tcW w:w="1860" w:type="dxa"/>
            <w:noWrap w:val="0"/>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t>≤2.0</w:t>
            </w:r>
          </w:p>
        </w:tc>
      </w:tr>
    </w:tbl>
    <w:p>
      <w:pPr>
        <w:spacing w:line="360" w:lineRule="auto"/>
        <w:ind w:firstLine="480" w:firstLineChars="200"/>
        <w:rPr>
          <w:bCs/>
          <w:color w:val="auto"/>
          <w:sz w:val="24"/>
        </w:rPr>
      </w:pPr>
      <w:r>
        <w:rPr>
          <w:rFonts w:hint="eastAsia"/>
          <w:bCs/>
          <w:color w:val="auto"/>
          <w:sz w:val="24"/>
        </w:rPr>
        <w:t>对有抗冻、抗渗或其它特殊要求的小于或等于</w:t>
      </w:r>
      <w:r>
        <w:rPr>
          <w:bCs/>
          <w:color w:val="auto"/>
          <w:sz w:val="24"/>
        </w:rPr>
        <w:t>C25</w:t>
      </w:r>
      <w:r>
        <w:rPr>
          <w:rFonts w:hint="eastAsia"/>
          <w:bCs/>
          <w:color w:val="auto"/>
          <w:sz w:val="24"/>
        </w:rPr>
        <w:t>混凝土用砂，其泥块含量不应大于</w:t>
      </w:r>
      <w:r>
        <w:rPr>
          <w:bCs/>
          <w:color w:val="auto"/>
          <w:sz w:val="24"/>
        </w:rPr>
        <w:t>1.0%</w:t>
      </w:r>
      <w:r>
        <w:rPr>
          <w:rFonts w:hint="eastAsia"/>
          <w:bCs/>
          <w:color w:val="auto"/>
          <w:sz w:val="24"/>
        </w:rPr>
        <w:t>。</w:t>
      </w:r>
    </w:p>
    <w:p>
      <w:pPr>
        <w:spacing w:line="360" w:lineRule="auto"/>
        <w:rPr>
          <w:bCs/>
          <w:color w:val="auto"/>
          <w:sz w:val="24"/>
        </w:rPr>
      </w:pPr>
      <w:r>
        <w:rPr>
          <w:b/>
          <w:bCs/>
          <w:color w:val="auto"/>
          <w:sz w:val="24"/>
        </w:rPr>
        <w:t>4.1.5</w:t>
      </w:r>
      <w:r>
        <w:rPr>
          <w:bCs/>
          <w:color w:val="auto"/>
          <w:sz w:val="24"/>
        </w:rPr>
        <w:t xml:space="preserve"> </w:t>
      </w:r>
      <w:r>
        <w:rPr>
          <w:rFonts w:hint="eastAsia"/>
          <w:bCs/>
          <w:color w:val="auto"/>
          <w:sz w:val="24"/>
          <w:lang w:val="en-US" w:eastAsia="zh-CN"/>
        </w:rPr>
        <w:t xml:space="preserve"> </w:t>
      </w:r>
      <w:r>
        <w:rPr>
          <w:rFonts w:hint="eastAsia"/>
          <w:bCs/>
          <w:color w:val="auto"/>
          <w:sz w:val="24"/>
        </w:rPr>
        <w:t>特细砂的坚固性应采用硫酸钠溶液检验，试样经</w:t>
      </w:r>
      <w:r>
        <w:rPr>
          <w:bCs/>
          <w:color w:val="auto"/>
          <w:sz w:val="24"/>
        </w:rPr>
        <w:t>5</w:t>
      </w:r>
      <w:r>
        <w:rPr>
          <w:rFonts w:hint="eastAsia"/>
          <w:bCs/>
          <w:color w:val="auto"/>
          <w:sz w:val="24"/>
        </w:rPr>
        <w:t>次循环后，其质量损失应符合表4.1.5的规定。</w:t>
      </w:r>
    </w:p>
    <w:p>
      <w:pPr>
        <w:spacing w:line="360" w:lineRule="auto"/>
        <w:jc w:val="center"/>
        <w:rPr>
          <w:b/>
          <w:bCs/>
          <w:color w:val="auto"/>
          <w:sz w:val="24"/>
        </w:rPr>
      </w:pPr>
      <w:r>
        <w:rPr>
          <w:rFonts w:hint="eastAsia"/>
          <w:b/>
          <w:bCs/>
          <w:color w:val="auto"/>
          <w:sz w:val="24"/>
        </w:rPr>
        <w:t>表4.1.5</w:t>
      </w:r>
      <w:r>
        <w:rPr>
          <w:rFonts w:hint="eastAsia"/>
          <w:b/>
          <w:bCs/>
          <w:color w:val="auto"/>
          <w:sz w:val="24"/>
          <w:lang w:val="en-US" w:eastAsia="zh-CN"/>
        </w:rPr>
        <w:t xml:space="preserve"> </w:t>
      </w:r>
      <w:r>
        <w:rPr>
          <w:b/>
          <w:bCs/>
          <w:color w:val="auto"/>
          <w:sz w:val="24"/>
        </w:rPr>
        <w:t xml:space="preserve"> </w:t>
      </w:r>
      <w:r>
        <w:rPr>
          <w:rFonts w:hint="eastAsia"/>
          <w:b/>
          <w:bCs/>
          <w:color w:val="auto"/>
          <w:sz w:val="24"/>
        </w:rPr>
        <w:t>坚固性指标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4"/>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624" w:type="dxa"/>
            <w:noWrap w:val="0"/>
            <w:vAlign w:val="center"/>
          </w:tcPr>
          <w:p>
            <w:pPr>
              <w:spacing w:line="220" w:lineRule="atLeast"/>
              <w:jc w:val="center"/>
              <w:rPr>
                <w:rFonts w:hint="default" w:ascii="Times New Roman" w:hAnsi="Times New Roman" w:cs="Times New Roman"/>
                <w:color w:val="auto"/>
                <w:sz w:val="28"/>
                <w:szCs w:val="28"/>
              </w:rPr>
            </w:pPr>
            <w:r>
              <w:rPr>
                <w:rFonts w:hint="default" w:ascii="Times New Roman" w:hAnsi="Times New Roman" w:cs="Times New Roman"/>
                <w:color w:val="auto"/>
              </w:rPr>
              <w:t>混凝土所处的环境条件及其性能要求</w:t>
            </w:r>
          </w:p>
        </w:tc>
        <w:tc>
          <w:tcPr>
            <w:tcW w:w="3898" w:type="dxa"/>
            <w:noWrap w:val="0"/>
            <w:vAlign w:val="center"/>
          </w:tcPr>
          <w:p>
            <w:pPr>
              <w:spacing w:line="220" w:lineRule="atLeast"/>
              <w:jc w:val="center"/>
              <w:rPr>
                <w:rFonts w:hint="default" w:ascii="Times New Roman" w:hAnsi="Times New Roman" w:cs="Times New Roman"/>
                <w:color w:val="auto"/>
                <w:sz w:val="28"/>
                <w:szCs w:val="28"/>
              </w:rPr>
            </w:pPr>
            <w:r>
              <w:rPr>
                <w:rFonts w:hint="default" w:ascii="Times New Roman" w:hAnsi="Times New Roman" w:cs="Times New Roman"/>
                <w:color w:val="auto"/>
              </w:rPr>
              <w:t>5次循环后的质量损失(%)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4624" w:type="dxa"/>
            <w:noWrap w:val="0"/>
            <w:vAlign w:val="center"/>
          </w:tcPr>
          <w:p>
            <w:pPr>
              <w:ind w:firstLine="363" w:firstLineChars="170"/>
              <w:rPr>
                <w:rFonts w:hint="default" w:ascii="Times New Roman" w:hAnsi="Times New Roman" w:eastAsia="宋体" w:cs="Times New Roman"/>
                <w:color w:val="auto"/>
                <w:spacing w:val="2"/>
                <w:position w:val="2"/>
                <w:szCs w:val="21"/>
                <w:lang w:eastAsia="zh-CN"/>
              </w:rPr>
            </w:pPr>
            <w:r>
              <w:rPr>
                <w:rFonts w:hint="default" w:ascii="Times New Roman" w:hAnsi="Times New Roman" w:cs="Times New Roman"/>
                <w:color w:val="auto"/>
                <w:spacing w:val="2"/>
                <w:position w:val="2"/>
                <w:szCs w:val="21"/>
              </w:rPr>
              <w:t>在严寒及寒冷地区室外使用并经常处于潮湿或干湿交替状态下的混凝土</w:t>
            </w:r>
            <w:r>
              <w:rPr>
                <w:rFonts w:hint="default" w:ascii="Times New Roman" w:hAnsi="Times New Roman" w:cs="Times New Roman"/>
                <w:color w:val="auto"/>
                <w:spacing w:val="2"/>
                <w:position w:val="2"/>
                <w:szCs w:val="21"/>
                <w:lang w:eastAsia="zh-CN"/>
              </w:rPr>
              <w:t>；</w:t>
            </w:r>
          </w:p>
          <w:p>
            <w:pPr>
              <w:ind w:firstLine="428" w:firstLineChars="200"/>
              <w:rPr>
                <w:rFonts w:hint="default" w:ascii="Times New Roman" w:hAnsi="Times New Roman" w:eastAsia="宋体" w:cs="Times New Roman"/>
                <w:color w:val="auto"/>
                <w:spacing w:val="2"/>
                <w:position w:val="2"/>
                <w:szCs w:val="21"/>
                <w:lang w:eastAsia="zh-CN"/>
              </w:rPr>
            </w:pPr>
            <w:r>
              <w:rPr>
                <w:rFonts w:hint="default" w:ascii="Times New Roman" w:hAnsi="Times New Roman" w:cs="Times New Roman"/>
                <w:color w:val="auto"/>
                <w:spacing w:val="2"/>
                <w:position w:val="2"/>
                <w:szCs w:val="21"/>
              </w:rPr>
              <w:t>对于有抗疲劳、耐磨、抗冲击要求的混凝土</w:t>
            </w:r>
            <w:r>
              <w:rPr>
                <w:rFonts w:hint="default" w:ascii="Times New Roman" w:hAnsi="Times New Roman" w:cs="Times New Roman"/>
                <w:color w:val="auto"/>
                <w:spacing w:val="2"/>
                <w:position w:val="2"/>
                <w:szCs w:val="21"/>
                <w:lang w:eastAsia="zh-CN"/>
              </w:rPr>
              <w:t>；</w:t>
            </w:r>
          </w:p>
          <w:p>
            <w:pPr>
              <w:spacing w:line="220" w:lineRule="atLeast"/>
              <w:ind w:firstLine="428" w:firstLineChars="200"/>
              <w:rPr>
                <w:rFonts w:hint="default" w:ascii="Times New Roman" w:hAnsi="Times New Roman" w:cs="Times New Roman"/>
                <w:color w:val="auto"/>
                <w:sz w:val="28"/>
                <w:szCs w:val="28"/>
              </w:rPr>
            </w:pPr>
            <w:r>
              <w:rPr>
                <w:rFonts w:hint="default" w:ascii="Times New Roman" w:hAnsi="Times New Roman" w:cs="Times New Roman"/>
                <w:color w:val="auto"/>
                <w:spacing w:val="2"/>
                <w:position w:val="2"/>
                <w:szCs w:val="21"/>
              </w:rPr>
              <w:t>有腐蚀介质作用或经常处于水位变化的地下结构混凝土</w:t>
            </w:r>
          </w:p>
        </w:tc>
        <w:tc>
          <w:tcPr>
            <w:tcW w:w="3898" w:type="dxa"/>
            <w:noWrap w:val="0"/>
            <w:vAlign w:val="center"/>
          </w:tcPr>
          <w:p>
            <w:pPr>
              <w:spacing w:line="220" w:lineRule="atLeast"/>
              <w:jc w:val="center"/>
              <w:rPr>
                <w:rFonts w:hint="default" w:ascii="Times New Roman" w:hAnsi="Times New Roman" w:cs="Times New Roman"/>
                <w:color w:val="auto"/>
                <w:sz w:val="28"/>
                <w:szCs w:val="28"/>
              </w:rPr>
            </w:pPr>
            <w:r>
              <w:rPr>
                <w:rFonts w:hint="default" w:ascii="Times New Roman" w:hAnsi="Times New Roman" w:cs="Times New Roman"/>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24" w:type="dxa"/>
            <w:noWrap w:val="0"/>
            <w:vAlign w:val="center"/>
          </w:tcPr>
          <w:p>
            <w:pPr>
              <w:spacing w:line="220" w:lineRule="atLeast"/>
              <w:jc w:val="center"/>
              <w:rPr>
                <w:rFonts w:hint="default" w:ascii="Times New Roman" w:hAnsi="Times New Roman" w:cs="Times New Roman"/>
                <w:color w:val="auto"/>
                <w:sz w:val="28"/>
                <w:szCs w:val="28"/>
              </w:rPr>
            </w:pPr>
            <w:r>
              <w:rPr>
                <w:rFonts w:hint="default" w:ascii="Times New Roman" w:hAnsi="Times New Roman" w:cs="Times New Roman"/>
                <w:color w:val="auto"/>
              </w:rPr>
              <w:t>其它条件下使用的混凝土</w:t>
            </w:r>
          </w:p>
        </w:tc>
        <w:tc>
          <w:tcPr>
            <w:tcW w:w="3898" w:type="dxa"/>
            <w:noWrap w:val="0"/>
            <w:vAlign w:val="center"/>
          </w:tcPr>
          <w:p>
            <w:pPr>
              <w:spacing w:line="220" w:lineRule="atLeast"/>
              <w:jc w:val="center"/>
              <w:rPr>
                <w:rFonts w:hint="default" w:ascii="Times New Roman" w:hAnsi="Times New Roman" w:cs="Times New Roman"/>
                <w:color w:val="auto"/>
                <w:sz w:val="28"/>
                <w:szCs w:val="28"/>
              </w:rPr>
            </w:pPr>
            <w:r>
              <w:rPr>
                <w:rFonts w:hint="default" w:ascii="Times New Roman" w:hAnsi="Times New Roman" w:cs="Times New Roman"/>
                <w:color w:val="auto"/>
              </w:rPr>
              <w:t>≤10</w:t>
            </w:r>
          </w:p>
        </w:tc>
      </w:tr>
    </w:tbl>
    <w:p>
      <w:pPr>
        <w:spacing w:line="360" w:lineRule="auto"/>
        <w:rPr>
          <w:b/>
          <w:bCs/>
          <w:color w:val="auto"/>
          <w:sz w:val="24"/>
        </w:rPr>
      </w:pPr>
    </w:p>
    <w:p>
      <w:pPr>
        <w:spacing w:line="360" w:lineRule="auto"/>
        <w:rPr>
          <w:rFonts w:hint="eastAsia"/>
          <w:bCs/>
          <w:color w:val="auto"/>
          <w:sz w:val="24"/>
        </w:rPr>
      </w:pPr>
      <w:r>
        <w:rPr>
          <w:b/>
          <w:bCs/>
          <w:color w:val="auto"/>
          <w:sz w:val="24"/>
        </w:rPr>
        <w:t>4.1.6</w:t>
      </w:r>
      <w:r>
        <w:rPr>
          <w:rFonts w:hint="eastAsia"/>
          <w:b/>
          <w:bCs/>
          <w:color w:val="auto"/>
          <w:sz w:val="24"/>
          <w:lang w:val="en-US" w:eastAsia="zh-CN"/>
        </w:rPr>
        <w:t xml:space="preserve">  </w:t>
      </w:r>
      <w:r>
        <w:rPr>
          <w:rFonts w:hint="eastAsia"/>
          <w:bCs/>
          <w:color w:val="auto"/>
          <w:sz w:val="24"/>
        </w:rPr>
        <w:t>当砂中如含有云母、轻物质、有机物、硫化物及硫酸盐等有害物质时，其含量应符合表4.1.6的规定。</w:t>
      </w:r>
    </w:p>
    <w:p>
      <w:pPr>
        <w:ind w:left="-540" w:leftChars="-257" w:firstLine="619" w:firstLineChars="257"/>
        <w:jc w:val="center"/>
        <w:rPr>
          <w:b/>
          <w:bCs/>
          <w:color w:val="auto"/>
          <w:sz w:val="24"/>
        </w:rPr>
      </w:pPr>
      <w:r>
        <w:rPr>
          <w:rFonts w:hint="eastAsia"/>
          <w:b/>
          <w:bCs/>
          <w:color w:val="auto"/>
          <w:sz w:val="24"/>
        </w:rPr>
        <w:t>表4.1.6</w:t>
      </w:r>
      <w:r>
        <w:rPr>
          <w:rFonts w:hint="eastAsia"/>
          <w:b/>
          <w:bCs/>
          <w:color w:val="auto"/>
          <w:sz w:val="24"/>
          <w:lang w:val="en-US" w:eastAsia="zh-CN"/>
        </w:rPr>
        <w:t xml:space="preserve"> </w:t>
      </w:r>
      <w:r>
        <w:rPr>
          <w:b/>
          <w:bCs/>
          <w:color w:val="auto"/>
          <w:sz w:val="24"/>
        </w:rPr>
        <w:t xml:space="preserve"> </w:t>
      </w:r>
      <w:r>
        <w:rPr>
          <w:rFonts w:hint="eastAsia"/>
          <w:b/>
          <w:bCs/>
          <w:color w:val="auto"/>
          <w:sz w:val="24"/>
        </w:rPr>
        <w:t>有害物质限值</w:t>
      </w:r>
    </w:p>
    <w:tbl>
      <w:tblPr>
        <w:tblStyle w:val="12"/>
        <w:tblpPr w:leftFromText="180" w:rightFromText="180" w:vertAnchor="text" w:horzAnchor="margin" w:tblpY="2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5"/>
        <w:gridCol w:w="5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75"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项</w:t>
            </w:r>
            <w:r>
              <w:rPr>
                <w:bCs/>
                <w:color w:val="auto"/>
                <w:sz w:val="21"/>
                <w:szCs w:val="21"/>
              </w:rPr>
              <w:t xml:space="preserve">  </w:t>
            </w:r>
            <w:r>
              <w:rPr>
                <w:rFonts w:hint="eastAsia"/>
                <w:bCs/>
                <w:color w:val="auto"/>
                <w:sz w:val="21"/>
                <w:szCs w:val="21"/>
              </w:rPr>
              <w:t>目</w:t>
            </w:r>
          </w:p>
        </w:tc>
        <w:tc>
          <w:tcPr>
            <w:tcW w:w="5144"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质</w:t>
            </w:r>
            <w:r>
              <w:rPr>
                <w:bCs/>
                <w:color w:val="auto"/>
                <w:sz w:val="21"/>
                <w:szCs w:val="21"/>
              </w:rPr>
              <w:t xml:space="preserve"> </w:t>
            </w:r>
            <w:r>
              <w:rPr>
                <w:rFonts w:hint="eastAsia"/>
                <w:bCs/>
                <w:color w:val="auto"/>
                <w:sz w:val="21"/>
                <w:szCs w:val="21"/>
              </w:rPr>
              <w:t>量</w:t>
            </w:r>
            <w:r>
              <w:rPr>
                <w:bCs/>
                <w:color w:val="auto"/>
                <w:sz w:val="21"/>
                <w:szCs w:val="21"/>
              </w:rPr>
              <w:t xml:space="preserve"> </w:t>
            </w:r>
            <w:r>
              <w:rPr>
                <w:rFonts w:hint="eastAsia"/>
                <w:bCs/>
                <w:color w:val="auto"/>
                <w:sz w:val="21"/>
                <w:szCs w:val="21"/>
              </w:rPr>
              <w:t>指</w:t>
            </w:r>
            <w:r>
              <w:rPr>
                <w:bCs/>
                <w:color w:val="auto"/>
                <w:sz w:val="21"/>
                <w:szCs w:val="21"/>
              </w:rPr>
              <w:t xml:space="preserve"> </w:t>
            </w:r>
            <w:r>
              <w:rPr>
                <w:rFonts w:hint="eastAsia"/>
                <w:bCs/>
                <w:color w:val="auto"/>
                <w:sz w:val="21"/>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775"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云母含量</w:t>
            </w:r>
            <w:r>
              <w:rPr>
                <w:bCs/>
                <w:color w:val="auto"/>
                <w:sz w:val="21"/>
                <w:szCs w:val="21"/>
              </w:rPr>
              <w:t>(</w:t>
            </w:r>
            <w:r>
              <w:rPr>
                <w:rFonts w:hint="eastAsia"/>
                <w:bCs/>
                <w:color w:val="auto"/>
                <w:sz w:val="21"/>
                <w:szCs w:val="21"/>
              </w:rPr>
              <w:t>按质量计，</w:t>
            </w:r>
            <w:r>
              <w:rPr>
                <w:bCs/>
                <w:color w:val="auto"/>
                <w:sz w:val="21"/>
                <w:szCs w:val="21"/>
              </w:rPr>
              <w:t>%)</w:t>
            </w:r>
          </w:p>
        </w:tc>
        <w:tc>
          <w:tcPr>
            <w:tcW w:w="5144"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w:t>
            </w:r>
            <w:r>
              <w:rPr>
                <w:bCs/>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775"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轻物质含量</w:t>
            </w:r>
            <w:r>
              <w:rPr>
                <w:bCs/>
                <w:color w:val="auto"/>
                <w:sz w:val="21"/>
                <w:szCs w:val="21"/>
              </w:rPr>
              <w:t>(</w:t>
            </w:r>
            <w:r>
              <w:rPr>
                <w:rFonts w:hint="eastAsia"/>
                <w:bCs/>
                <w:color w:val="auto"/>
                <w:sz w:val="21"/>
                <w:szCs w:val="21"/>
              </w:rPr>
              <w:t>按质量计，</w:t>
            </w:r>
            <w:r>
              <w:rPr>
                <w:bCs/>
                <w:color w:val="auto"/>
                <w:sz w:val="21"/>
                <w:szCs w:val="21"/>
              </w:rPr>
              <w:t>%)</w:t>
            </w:r>
          </w:p>
        </w:tc>
        <w:tc>
          <w:tcPr>
            <w:tcW w:w="5144"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w:t>
            </w:r>
            <w:r>
              <w:rPr>
                <w:bCs/>
                <w:color w:val="auto"/>
                <w:sz w:val="21"/>
                <w:szCs w:val="21"/>
              </w:rPr>
              <w:t>l.0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775" w:type="dxa"/>
            <w:noWrap w:val="0"/>
            <w:vAlign w:val="center"/>
          </w:tcPr>
          <w:p>
            <w:pPr>
              <w:ind w:left="-540" w:leftChars="-257" w:firstLine="539" w:firstLineChars="257"/>
              <w:jc w:val="center"/>
              <w:rPr>
                <w:bCs/>
                <w:color w:val="auto"/>
                <w:sz w:val="21"/>
                <w:szCs w:val="21"/>
              </w:rPr>
            </w:pPr>
            <w:r>
              <w:rPr>
                <w:rFonts w:hint="eastAsia"/>
                <w:bCs/>
                <w:color w:val="auto"/>
                <w:sz w:val="21"/>
                <w:szCs w:val="21"/>
              </w:rPr>
              <w:t>硫化物及硫酸盐含量</w:t>
            </w:r>
          </w:p>
          <w:p>
            <w:pPr>
              <w:ind w:left="-540" w:leftChars="-257" w:firstLine="539" w:firstLineChars="257"/>
              <w:jc w:val="center"/>
              <w:rPr>
                <w:bCs/>
                <w:color w:val="auto"/>
                <w:sz w:val="21"/>
                <w:szCs w:val="21"/>
              </w:rPr>
            </w:pPr>
            <w:r>
              <w:rPr>
                <w:bCs/>
                <w:color w:val="auto"/>
                <w:sz w:val="21"/>
                <w:szCs w:val="21"/>
              </w:rPr>
              <w:t>(</w:t>
            </w:r>
            <w:r>
              <w:rPr>
                <w:rFonts w:hint="eastAsia"/>
                <w:bCs/>
                <w:color w:val="auto"/>
                <w:sz w:val="21"/>
                <w:szCs w:val="21"/>
              </w:rPr>
              <w:t>折算成</w:t>
            </w:r>
            <w:r>
              <w:rPr>
                <w:bCs/>
                <w:color w:val="auto"/>
                <w:sz w:val="21"/>
                <w:szCs w:val="21"/>
              </w:rPr>
              <w:t xml:space="preserve"> SO</w:t>
            </w:r>
            <w:r>
              <w:rPr>
                <w:bCs/>
                <w:color w:val="auto"/>
                <w:sz w:val="21"/>
                <w:szCs w:val="21"/>
                <w:vertAlign w:val="subscript"/>
              </w:rPr>
              <w:t>3</w:t>
            </w:r>
            <w:r>
              <w:rPr>
                <w:bCs/>
                <w:color w:val="auto"/>
                <w:sz w:val="21"/>
                <w:szCs w:val="21"/>
              </w:rPr>
              <w:t xml:space="preserve"> </w:t>
            </w:r>
            <w:r>
              <w:rPr>
                <w:rFonts w:hint="eastAsia"/>
                <w:bCs/>
                <w:color w:val="auto"/>
                <w:sz w:val="21"/>
                <w:szCs w:val="21"/>
              </w:rPr>
              <w:t>按质量计，</w:t>
            </w:r>
            <w:r>
              <w:rPr>
                <w:bCs/>
                <w:color w:val="auto"/>
                <w:sz w:val="21"/>
                <w:szCs w:val="21"/>
              </w:rPr>
              <w:t>%)</w:t>
            </w:r>
          </w:p>
        </w:tc>
        <w:tc>
          <w:tcPr>
            <w:tcW w:w="5144"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w:t>
            </w:r>
            <w:r>
              <w:rPr>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775" w:type="dxa"/>
            <w:noWrap w:val="0"/>
            <w:vAlign w:val="center"/>
          </w:tcPr>
          <w:p>
            <w:pPr>
              <w:ind w:left="-540" w:leftChars="-257" w:firstLine="539" w:firstLineChars="257"/>
              <w:jc w:val="center"/>
              <w:rPr>
                <w:rFonts w:ascii="宋体" w:hAnsi="宋体"/>
                <w:color w:val="auto"/>
                <w:sz w:val="21"/>
                <w:szCs w:val="21"/>
              </w:rPr>
            </w:pPr>
            <w:r>
              <w:rPr>
                <w:rFonts w:hint="eastAsia"/>
                <w:bCs/>
                <w:color w:val="auto"/>
                <w:sz w:val="21"/>
                <w:szCs w:val="21"/>
              </w:rPr>
              <w:t>有机物含量</w:t>
            </w:r>
            <w:r>
              <w:rPr>
                <w:bCs/>
                <w:color w:val="auto"/>
                <w:sz w:val="21"/>
                <w:szCs w:val="21"/>
              </w:rPr>
              <w:t>(</w:t>
            </w:r>
            <w:r>
              <w:rPr>
                <w:rFonts w:hint="eastAsia"/>
                <w:bCs/>
                <w:color w:val="auto"/>
                <w:sz w:val="21"/>
                <w:szCs w:val="21"/>
              </w:rPr>
              <w:t>用比色法试验</w:t>
            </w:r>
            <w:r>
              <w:rPr>
                <w:bCs/>
                <w:color w:val="auto"/>
                <w:sz w:val="21"/>
                <w:szCs w:val="21"/>
              </w:rPr>
              <w:t>)</w:t>
            </w:r>
          </w:p>
        </w:tc>
        <w:tc>
          <w:tcPr>
            <w:tcW w:w="5144" w:type="dxa"/>
            <w:noWrap w:val="0"/>
            <w:vAlign w:val="center"/>
          </w:tcPr>
          <w:p>
            <w:pPr>
              <w:jc w:val="both"/>
              <w:rPr>
                <w:rFonts w:ascii="宋体" w:hAnsi="宋体"/>
                <w:color w:val="auto"/>
                <w:sz w:val="21"/>
                <w:szCs w:val="21"/>
              </w:rPr>
            </w:pPr>
            <w:r>
              <w:rPr>
                <w:rFonts w:hint="eastAsia"/>
                <w:bCs/>
                <w:color w:val="auto"/>
                <w:sz w:val="21"/>
                <w:szCs w:val="21"/>
              </w:rPr>
              <w:t>颜色不应深于标准色，当颜色深于标准色时，应按水泥胶砂强度试验方法进行强度对比试验，抗压强度比不应低于</w:t>
            </w:r>
            <w:r>
              <w:rPr>
                <w:bCs/>
                <w:color w:val="auto"/>
                <w:sz w:val="21"/>
                <w:szCs w:val="21"/>
              </w:rPr>
              <w:t>0.95</w:t>
            </w:r>
            <w:r>
              <w:rPr>
                <w:rFonts w:hint="eastAsia"/>
                <w:bCs/>
                <w:color w:val="auto"/>
                <w:sz w:val="21"/>
                <w:szCs w:val="21"/>
              </w:rPr>
              <w:t>。</w:t>
            </w:r>
          </w:p>
        </w:tc>
      </w:tr>
    </w:tbl>
    <w:p>
      <w:pPr>
        <w:ind w:firstLine="480" w:firstLineChars="200"/>
        <w:rPr>
          <w:bCs/>
          <w:color w:val="auto"/>
          <w:sz w:val="24"/>
        </w:rPr>
      </w:pPr>
      <w:r>
        <w:rPr>
          <w:rFonts w:hint="eastAsia"/>
          <w:bCs/>
          <w:color w:val="auto"/>
          <w:sz w:val="24"/>
        </w:rPr>
        <w:t>对于有抗冻、抗渗要求的混凝土，砂中云母含量不应大于</w:t>
      </w:r>
      <w:r>
        <w:rPr>
          <w:bCs/>
          <w:color w:val="auto"/>
          <w:sz w:val="24"/>
        </w:rPr>
        <w:t xml:space="preserve"> 1.0%</w:t>
      </w:r>
      <w:r>
        <w:rPr>
          <w:rFonts w:hint="eastAsia"/>
          <w:bCs/>
          <w:color w:val="auto"/>
          <w:sz w:val="24"/>
        </w:rPr>
        <w:t>。</w:t>
      </w:r>
    </w:p>
    <w:p>
      <w:pPr>
        <w:spacing w:line="360" w:lineRule="auto"/>
        <w:ind w:firstLine="480" w:firstLineChars="200"/>
        <w:rPr>
          <w:bCs/>
          <w:color w:val="auto"/>
          <w:sz w:val="24"/>
        </w:rPr>
      </w:pPr>
      <w:r>
        <w:rPr>
          <w:rFonts w:hint="eastAsia"/>
          <w:bCs/>
          <w:color w:val="auto"/>
          <w:sz w:val="24"/>
        </w:rPr>
        <w:t>当砂中含有颗粒状的硫酸盐或硫化物杂质时，应进行专门检验，确认能满足混凝土耐久性要求后，方能采用。</w:t>
      </w:r>
    </w:p>
    <w:p>
      <w:pPr>
        <w:spacing w:line="360" w:lineRule="auto"/>
        <w:rPr>
          <w:bCs/>
          <w:color w:val="auto"/>
          <w:sz w:val="24"/>
        </w:rPr>
      </w:pPr>
      <w:r>
        <w:rPr>
          <w:b/>
          <w:bCs/>
          <w:color w:val="auto"/>
          <w:sz w:val="24"/>
        </w:rPr>
        <w:t>4.1.7</w:t>
      </w:r>
      <w:r>
        <w:rPr>
          <w:bCs/>
          <w:color w:val="auto"/>
          <w:sz w:val="24"/>
        </w:rPr>
        <w:t xml:space="preserve"> </w:t>
      </w:r>
      <w:r>
        <w:rPr>
          <w:rFonts w:hint="eastAsia"/>
          <w:bCs/>
          <w:color w:val="auto"/>
          <w:sz w:val="24"/>
          <w:lang w:val="en-US" w:eastAsia="zh-CN"/>
        </w:rPr>
        <w:t xml:space="preserve"> </w:t>
      </w:r>
      <w:r>
        <w:rPr>
          <w:rFonts w:hint="eastAsia"/>
          <w:bCs/>
          <w:color w:val="auto"/>
          <w:sz w:val="24"/>
        </w:rPr>
        <w:t>对于长期处于潮湿环境的重要混凝土结构用砂，应采用砂浆棒（快速法）或砂浆长度法进行骨料的碱活性检验。经上述检验判断为有潜在危害时，应控制混凝土中的碱含量不超过</w:t>
      </w:r>
      <w:r>
        <w:rPr>
          <w:bCs/>
          <w:color w:val="auto"/>
          <w:sz w:val="24"/>
        </w:rPr>
        <w:t>3kg/m</w:t>
      </w:r>
      <w:r>
        <w:rPr>
          <w:rFonts w:hint="eastAsia"/>
          <w:bCs/>
          <w:color w:val="auto"/>
          <w:sz w:val="24"/>
        </w:rPr>
        <w:t>³，或采用能抑制碱</w:t>
      </w:r>
      <w:r>
        <w:rPr>
          <w:bCs/>
          <w:color w:val="auto"/>
          <w:sz w:val="24"/>
        </w:rPr>
        <w:t>-</w:t>
      </w:r>
      <w:r>
        <w:rPr>
          <w:rFonts w:hint="eastAsia"/>
          <w:bCs/>
          <w:color w:val="auto"/>
          <w:sz w:val="24"/>
        </w:rPr>
        <w:t>骨料反应的有效措施。</w:t>
      </w:r>
    </w:p>
    <w:p>
      <w:pPr>
        <w:spacing w:line="360" w:lineRule="auto"/>
        <w:rPr>
          <w:bCs/>
          <w:color w:val="auto"/>
          <w:sz w:val="24"/>
        </w:rPr>
      </w:pPr>
      <w:r>
        <w:rPr>
          <w:b/>
          <w:bCs/>
          <w:color w:val="auto"/>
          <w:sz w:val="24"/>
        </w:rPr>
        <w:t>4.1.8</w:t>
      </w:r>
      <w:r>
        <w:rPr>
          <w:rFonts w:hint="eastAsia"/>
          <w:b/>
          <w:bCs/>
          <w:color w:val="auto"/>
          <w:sz w:val="24"/>
          <w:lang w:val="en-US" w:eastAsia="zh-CN"/>
        </w:rPr>
        <w:t xml:space="preserve">  </w:t>
      </w:r>
      <w:r>
        <w:rPr>
          <w:rFonts w:hint="eastAsia"/>
          <w:bCs/>
          <w:color w:val="auto"/>
          <w:sz w:val="24"/>
        </w:rPr>
        <w:t>砂中氯离子含量应符合下列规定：</w:t>
      </w:r>
    </w:p>
    <w:p>
      <w:pPr>
        <w:spacing w:line="360" w:lineRule="auto"/>
        <w:rPr>
          <w:bCs/>
          <w:color w:val="auto"/>
          <w:sz w:val="24"/>
        </w:rPr>
      </w:pPr>
      <w:r>
        <w:rPr>
          <w:bCs/>
          <w:color w:val="auto"/>
          <w:sz w:val="24"/>
        </w:rPr>
        <w:t xml:space="preserve"> </w:t>
      </w:r>
      <w:r>
        <w:rPr>
          <w:rFonts w:hint="eastAsia"/>
          <w:bCs/>
          <w:color w:val="auto"/>
          <w:sz w:val="24"/>
        </w:rPr>
        <w:t xml:space="preserve">   </w:t>
      </w:r>
      <w:r>
        <w:rPr>
          <w:b/>
          <w:bCs w:val="0"/>
          <w:color w:val="auto"/>
          <w:sz w:val="24"/>
        </w:rPr>
        <w:t>1</w:t>
      </w:r>
      <w:r>
        <w:rPr>
          <w:rFonts w:hint="eastAsia"/>
          <w:bCs/>
          <w:color w:val="auto"/>
          <w:sz w:val="24"/>
          <w:lang w:val="en-US" w:eastAsia="zh-CN"/>
        </w:rPr>
        <w:t xml:space="preserve"> </w:t>
      </w:r>
      <w:r>
        <w:rPr>
          <w:rFonts w:hint="eastAsia"/>
          <w:bCs/>
          <w:color w:val="auto"/>
          <w:sz w:val="24"/>
        </w:rPr>
        <w:t>对于钢筋混凝土用砂，其氯离子含量不得大于</w:t>
      </w:r>
      <w:r>
        <w:rPr>
          <w:bCs/>
          <w:color w:val="auto"/>
          <w:sz w:val="24"/>
        </w:rPr>
        <w:t>0.06%</w:t>
      </w:r>
      <w:r>
        <w:rPr>
          <w:rFonts w:hint="eastAsia"/>
          <w:bCs/>
          <w:color w:val="auto"/>
          <w:sz w:val="24"/>
        </w:rPr>
        <w:t>（以干砂的质量百分率计）；</w:t>
      </w:r>
    </w:p>
    <w:p>
      <w:pPr>
        <w:spacing w:line="360" w:lineRule="auto"/>
        <w:rPr>
          <w:bCs/>
          <w:color w:val="auto"/>
          <w:sz w:val="24"/>
        </w:rPr>
      </w:pPr>
      <w:r>
        <w:rPr>
          <w:bCs/>
          <w:color w:val="auto"/>
          <w:sz w:val="24"/>
        </w:rPr>
        <w:t xml:space="preserve"> </w:t>
      </w:r>
      <w:r>
        <w:rPr>
          <w:rFonts w:hint="eastAsia"/>
          <w:bCs/>
          <w:color w:val="auto"/>
          <w:sz w:val="24"/>
        </w:rPr>
        <w:t xml:space="preserve">   </w:t>
      </w:r>
      <w:r>
        <w:rPr>
          <w:b/>
          <w:bCs w:val="0"/>
          <w:color w:val="auto"/>
          <w:sz w:val="24"/>
        </w:rPr>
        <w:t>2</w:t>
      </w:r>
      <w:r>
        <w:rPr>
          <w:bCs/>
          <w:color w:val="auto"/>
          <w:sz w:val="24"/>
        </w:rPr>
        <w:t> </w:t>
      </w:r>
      <w:r>
        <w:rPr>
          <w:rFonts w:hint="eastAsia"/>
          <w:bCs/>
          <w:color w:val="auto"/>
          <w:sz w:val="24"/>
          <w:lang w:val="en-US" w:eastAsia="zh-CN"/>
        </w:rPr>
        <w:t xml:space="preserve"> </w:t>
      </w:r>
      <w:r>
        <w:rPr>
          <w:rFonts w:hint="eastAsia"/>
          <w:bCs/>
          <w:color w:val="auto"/>
          <w:sz w:val="24"/>
        </w:rPr>
        <w:t>对于预应力混凝土用砂，其氯离子含量不得大于</w:t>
      </w:r>
      <w:r>
        <w:rPr>
          <w:bCs/>
          <w:color w:val="auto"/>
          <w:sz w:val="24"/>
        </w:rPr>
        <w:t>0.02%</w:t>
      </w:r>
      <w:r>
        <w:rPr>
          <w:rFonts w:hint="eastAsia"/>
          <w:bCs/>
          <w:color w:val="auto"/>
          <w:sz w:val="24"/>
        </w:rPr>
        <w:t>（以干砂的质量率计）。</w:t>
      </w:r>
    </w:p>
    <w:p>
      <w:pPr>
        <w:pStyle w:val="3"/>
        <w:keepNext/>
        <w:keepLines/>
        <w:pageBreakBefore w:val="0"/>
        <w:widowControl w:val="0"/>
        <w:kinsoku/>
        <w:wordWrap/>
        <w:overflowPunct/>
        <w:topLinePunct w:val="0"/>
        <w:autoSpaceDE/>
        <w:autoSpaceDN/>
        <w:bidi w:val="0"/>
        <w:adjustRightInd/>
        <w:snapToGrid/>
        <w:spacing w:line="416" w:lineRule="auto"/>
        <w:textAlignment w:val="auto"/>
        <w:rPr>
          <w:color w:val="auto"/>
        </w:rPr>
      </w:pPr>
      <w:bookmarkStart w:id="51" w:name="_Toc29714"/>
      <w:bookmarkStart w:id="52" w:name="_Toc4774"/>
      <w:r>
        <w:rPr>
          <w:color w:val="auto"/>
        </w:rPr>
        <w:t xml:space="preserve">4.2 </w:t>
      </w:r>
      <w:r>
        <w:rPr>
          <w:rFonts w:hint="eastAsia"/>
          <w:color w:val="auto"/>
        </w:rPr>
        <w:t>试验方法</w:t>
      </w:r>
      <w:bookmarkEnd w:id="51"/>
      <w:bookmarkEnd w:id="52"/>
    </w:p>
    <w:p>
      <w:pPr>
        <w:spacing w:line="360" w:lineRule="auto"/>
        <w:rPr>
          <w:bCs/>
          <w:color w:val="auto"/>
          <w:sz w:val="24"/>
        </w:rPr>
      </w:pPr>
      <w:r>
        <w:rPr>
          <w:b/>
          <w:bCs/>
          <w:color w:val="auto"/>
          <w:sz w:val="24"/>
        </w:rPr>
        <w:t>4.2.1</w:t>
      </w:r>
      <w:r>
        <w:rPr>
          <w:bCs/>
          <w:color w:val="auto"/>
          <w:sz w:val="24"/>
        </w:rPr>
        <w:t xml:space="preserve"> </w:t>
      </w:r>
      <w:r>
        <w:rPr>
          <w:rFonts w:hint="eastAsia"/>
          <w:bCs/>
          <w:color w:val="auto"/>
          <w:sz w:val="24"/>
          <w:lang w:val="en-US" w:eastAsia="zh-CN"/>
        </w:rPr>
        <w:t xml:space="preserve"> </w:t>
      </w:r>
      <w:r>
        <w:rPr>
          <w:rFonts w:hint="eastAsia"/>
          <w:bCs/>
          <w:color w:val="auto"/>
          <w:sz w:val="24"/>
        </w:rPr>
        <w:t>特细砂的筛分析试验按《普通混凝土用砂、石质量及检验方法标准》</w:t>
      </w:r>
      <w:r>
        <w:rPr>
          <w:bCs/>
          <w:color w:val="auto"/>
          <w:sz w:val="24"/>
        </w:rPr>
        <w:t>JGJ52</w:t>
      </w:r>
      <w:r>
        <w:rPr>
          <w:rFonts w:hint="eastAsia"/>
          <w:bCs/>
          <w:color w:val="auto"/>
          <w:sz w:val="24"/>
        </w:rPr>
        <w:t>测定，每份试样称取</w:t>
      </w:r>
      <w:r>
        <w:rPr>
          <w:bCs/>
          <w:color w:val="auto"/>
          <w:sz w:val="24"/>
        </w:rPr>
        <w:t>250g</w:t>
      </w:r>
      <w:r>
        <w:rPr>
          <w:rFonts w:hint="eastAsia"/>
          <w:bCs/>
          <w:color w:val="auto"/>
          <w:sz w:val="24"/>
        </w:rPr>
        <w:t>。</w:t>
      </w:r>
    </w:p>
    <w:p>
      <w:pPr>
        <w:spacing w:line="360" w:lineRule="auto"/>
        <w:rPr>
          <w:b/>
          <w:bCs/>
          <w:color w:val="auto"/>
          <w:sz w:val="24"/>
        </w:rPr>
      </w:pPr>
      <w:r>
        <w:rPr>
          <w:b/>
          <w:bCs/>
          <w:color w:val="auto"/>
          <w:sz w:val="24"/>
        </w:rPr>
        <w:t>4.2.2</w:t>
      </w:r>
      <w:r>
        <w:rPr>
          <w:rFonts w:hint="eastAsia"/>
          <w:b/>
          <w:bCs/>
          <w:color w:val="auto"/>
          <w:sz w:val="24"/>
          <w:lang w:val="en-US" w:eastAsia="zh-CN"/>
        </w:rPr>
        <w:t xml:space="preserve"> </w:t>
      </w:r>
      <w:r>
        <w:rPr>
          <w:bCs/>
          <w:color w:val="auto"/>
          <w:sz w:val="24"/>
        </w:rPr>
        <w:t xml:space="preserve"> </w:t>
      </w:r>
      <w:r>
        <w:rPr>
          <w:rFonts w:hint="eastAsia"/>
          <w:bCs/>
          <w:color w:val="auto"/>
          <w:sz w:val="24"/>
        </w:rPr>
        <w:t>特细砂的含泥量、泥块含量、坚固性、有害物质、碱活性试验</w:t>
      </w:r>
      <w:r>
        <w:rPr>
          <w:rFonts w:hint="eastAsia"/>
          <w:bCs/>
          <w:color w:val="auto"/>
          <w:sz w:val="24"/>
          <w:lang w:eastAsia="zh-CN"/>
        </w:rPr>
        <w:t>按</w:t>
      </w:r>
      <w:r>
        <w:rPr>
          <w:rFonts w:hint="eastAsia"/>
          <w:bCs/>
          <w:color w:val="auto"/>
          <w:sz w:val="24"/>
        </w:rPr>
        <w:t>《普通混凝土用砂、石质量及检验方法标准》</w:t>
      </w:r>
      <w:r>
        <w:rPr>
          <w:bCs/>
          <w:color w:val="auto"/>
          <w:sz w:val="24"/>
        </w:rPr>
        <w:t>JGJ52</w:t>
      </w:r>
      <w:r>
        <w:rPr>
          <w:rFonts w:hint="eastAsia"/>
          <w:bCs/>
          <w:color w:val="auto"/>
          <w:sz w:val="24"/>
        </w:rPr>
        <w:t>测定。</w:t>
      </w:r>
      <w:r>
        <w:rPr>
          <w:rFonts w:hint="eastAsia"/>
          <w:bCs/>
          <w:color w:val="auto"/>
          <w:sz w:val="24"/>
        </w:rPr>
        <w:t>含泥量试验宜采用虹吸管法，试样每份</w:t>
      </w:r>
      <w:r>
        <w:rPr>
          <w:bCs/>
          <w:color w:val="auto"/>
          <w:sz w:val="24"/>
        </w:rPr>
        <w:t>250g</w:t>
      </w:r>
      <w:r>
        <w:rPr>
          <w:rFonts w:hint="eastAsia"/>
          <w:bCs/>
          <w:color w:val="auto"/>
          <w:sz w:val="24"/>
        </w:rPr>
        <w:t>。</w:t>
      </w:r>
    </w:p>
    <w:p>
      <w:pPr>
        <w:spacing w:line="360" w:lineRule="auto"/>
        <w:rPr>
          <w:rFonts w:hint="eastAsia"/>
          <w:bCs/>
          <w:color w:val="auto"/>
          <w:sz w:val="15"/>
          <w:szCs w:val="15"/>
        </w:rPr>
      </w:pPr>
      <w:r>
        <w:rPr>
          <w:b/>
          <w:bCs/>
          <w:color w:val="auto"/>
          <w:sz w:val="24"/>
        </w:rPr>
        <w:t>4.2.3</w:t>
      </w:r>
      <w:r>
        <w:rPr>
          <w:bCs/>
          <w:color w:val="auto"/>
          <w:sz w:val="24"/>
        </w:rPr>
        <w:t xml:space="preserve"> </w:t>
      </w:r>
      <w:r>
        <w:rPr>
          <w:rFonts w:hint="eastAsia"/>
          <w:bCs/>
          <w:color w:val="auto"/>
          <w:sz w:val="24"/>
          <w:lang w:val="en-US" w:eastAsia="zh-CN"/>
        </w:rPr>
        <w:t xml:space="preserve"> </w:t>
      </w:r>
      <w:r>
        <w:rPr>
          <w:rFonts w:hint="eastAsia"/>
          <w:bCs/>
          <w:color w:val="auto"/>
          <w:sz w:val="24"/>
        </w:rPr>
        <w:t>特细砂的氯离子含量可以采用全自动氯离子测定仪测定</w:t>
      </w:r>
      <w:r>
        <w:rPr>
          <w:rFonts w:hint="eastAsia"/>
          <w:bCs/>
          <w:color w:val="auto"/>
          <w:sz w:val="24"/>
          <w:lang w:eastAsia="zh-CN"/>
        </w:rPr>
        <w:t>（附录</w:t>
      </w:r>
      <w:r>
        <w:rPr>
          <w:rFonts w:hint="eastAsia"/>
          <w:bCs/>
          <w:color w:val="auto"/>
          <w:sz w:val="24"/>
          <w:lang w:val="en-US" w:eastAsia="zh-CN"/>
        </w:rPr>
        <w:t>A</w:t>
      </w:r>
      <w:r>
        <w:rPr>
          <w:rFonts w:hint="eastAsia"/>
          <w:bCs/>
          <w:color w:val="auto"/>
          <w:sz w:val="24"/>
          <w:lang w:eastAsia="zh-CN"/>
        </w:rPr>
        <w:t>），</w:t>
      </w:r>
      <w:r>
        <w:rPr>
          <w:rFonts w:hint="eastAsia"/>
          <w:bCs/>
          <w:color w:val="auto"/>
          <w:sz w:val="24"/>
        </w:rPr>
        <w:t>当对试验结果有异议时按《普通混凝土用砂、石质量及检验方法标准》</w:t>
      </w:r>
      <w:r>
        <w:rPr>
          <w:bCs/>
          <w:color w:val="auto"/>
          <w:sz w:val="24"/>
        </w:rPr>
        <w:t>JGJ52</w:t>
      </w:r>
      <w:r>
        <w:rPr>
          <w:rFonts w:hint="eastAsia"/>
          <w:bCs/>
          <w:color w:val="auto"/>
          <w:sz w:val="24"/>
        </w:rPr>
        <w:t>测定。</w:t>
      </w:r>
    </w:p>
    <w:p>
      <w:pPr>
        <w:pStyle w:val="3"/>
        <w:keepNext/>
        <w:keepLines/>
        <w:pageBreakBefore w:val="0"/>
        <w:widowControl w:val="0"/>
        <w:kinsoku/>
        <w:wordWrap/>
        <w:overflowPunct/>
        <w:topLinePunct w:val="0"/>
        <w:autoSpaceDE/>
        <w:autoSpaceDN/>
        <w:bidi w:val="0"/>
        <w:adjustRightInd/>
        <w:snapToGrid/>
        <w:spacing w:line="416" w:lineRule="auto"/>
        <w:textAlignment w:val="auto"/>
        <w:rPr>
          <w:color w:val="auto"/>
        </w:rPr>
      </w:pPr>
      <w:bookmarkStart w:id="53" w:name="_Toc4404"/>
      <w:bookmarkStart w:id="54" w:name="_Toc13607"/>
      <w:r>
        <w:rPr>
          <w:color w:val="auto"/>
        </w:rPr>
        <w:t xml:space="preserve">4.3 </w:t>
      </w:r>
      <w:r>
        <w:rPr>
          <w:rFonts w:hint="eastAsia"/>
          <w:color w:val="auto"/>
        </w:rPr>
        <w:t>验收规则</w:t>
      </w:r>
      <w:bookmarkEnd w:id="53"/>
      <w:bookmarkEnd w:id="54"/>
    </w:p>
    <w:p>
      <w:pPr>
        <w:spacing w:line="360" w:lineRule="auto"/>
        <w:rPr>
          <w:rFonts w:ascii="宋体" w:hAnsi="宋体"/>
          <w:color w:val="auto"/>
          <w:sz w:val="28"/>
          <w:szCs w:val="28"/>
        </w:rPr>
      </w:pPr>
      <w:r>
        <w:rPr>
          <w:b/>
          <w:bCs/>
          <w:color w:val="auto"/>
          <w:sz w:val="24"/>
        </w:rPr>
        <w:t>4.3.1</w:t>
      </w:r>
      <w:r>
        <w:rPr>
          <w:bCs/>
          <w:color w:val="auto"/>
          <w:sz w:val="24"/>
        </w:rPr>
        <w:t xml:space="preserve"> </w:t>
      </w:r>
      <w:r>
        <w:rPr>
          <w:rFonts w:hint="eastAsia"/>
          <w:bCs/>
          <w:color w:val="auto"/>
          <w:sz w:val="24"/>
          <w:lang w:val="en-US" w:eastAsia="zh-CN"/>
        </w:rPr>
        <w:t xml:space="preserve"> </w:t>
      </w:r>
      <w:r>
        <w:rPr>
          <w:rFonts w:hint="eastAsia"/>
          <w:bCs/>
          <w:color w:val="auto"/>
          <w:sz w:val="24"/>
        </w:rPr>
        <w:t>采用汽车运输的以</w:t>
      </w:r>
      <w:r>
        <w:rPr>
          <w:bCs/>
          <w:color w:val="auto"/>
          <w:sz w:val="24"/>
        </w:rPr>
        <w:t>600t</w:t>
      </w:r>
      <w:r>
        <w:rPr>
          <w:rFonts w:hint="eastAsia"/>
          <w:bCs/>
          <w:color w:val="auto"/>
          <w:sz w:val="24"/>
        </w:rPr>
        <w:t>为一验收批，当特细砂</w:t>
      </w:r>
      <w:r>
        <w:rPr>
          <w:rFonts w:hint="eastAsia"/>
          <w:bCs/>
          <w:color w:val="auto"/>
          <w:sz w:val="24"/>
          <w:lang w:eastAsia="zh-CN"/>
        </w:rPr>
        <w:t>产地固定、</w:t>
      </w:r>
      <w:r>
        <w:rPr>
          <w:rFonts w:hint="eastAsia"/>
          <w:bCs/>
          <w:color w:val="auto"/>
          <w:sz w:val="24"/>
        </w:rPr>
        <w:t>质量比较稳定、进料量较大时可以</w:t>
      </w:r>
      <w:r>
        <w:rPr>
          <w:bCs/>
          <w:color w:val="auto"/>
          <w:sz w:val="24"/>
        </w:rPr>
        <w:t>1000t</w:t>
      </w:r>
      <w:r>
        <w:rPr>
          <w:rFonts w:hint="eastAsia"/>
          <w:bCs/>
          <w:color w:val="auto"/>
          <w:sz w:val="24"/>
        </w:rPr>
        <w:t>为一验收批。</w:t>
      </w:r>
      <w:r>
        <w:rPr>
          <w:rFonts w:hint="eastAsia"/>
          <w:bCs/>
          <w:color w:val="auto"/>
          <w:sz w:val="24"/>
        </w:rPr>
        <w:t>采用轮船运输时，可以一船为一验收批。</w:t>
      </w:r>
    </w:p>
    <w:p>
      <w:pPr>
        <w:spacing w:line="480" w:lineRule="auto"/>
        <w:rPr>
          <w:rFonts w:ascii="宋体" w:hAnsi="宋体"/>
          <w:color w:val="auto"/>
          <w:sz w:val="28"/>
          <w:szCs w:val="28"/>
        </w:rPr>
      </w:pPr>
      <w:r>
        <w:rPr>
          <w:b/>
          <w:bCs/>
          <w:color w:val="auto"/>
          <w:sz w:val="24"/>
        </w:rPr>
        <w:t>4.3.2</w:t>
      </w: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bCs/>
          <w:color w:val="auto"/>
          <w:sz w:val="24"/>
        </w:rPr>
        <w:t>每验收批特细砂应进行颗粒级配、含泥量、泥块含量、</w:t>
      </w:r>
      <w:r>
        <w:rPr>
          <w:rFonts w:hint="eastAsia"/>
          <w:bCs/>
          <w:color w:val="auto"/>
          <w:sz w:val="24"/>
        </w:rPr>
        <w:t>氯离子含量检验</w:t>
      </w:r>
      <w:r>
        <w:rPr>
          <w:rFonts w:hint="eastAsia" w:ascii="宋体" w:hAnsi="宋体"/>
          <w:color w:val="auto"/>
          <w:sz w:val="28"/>
          <w:szCs w:val="28"/>
        </w:rPr>
        <w:t>。</w:t>
      </w:r>
    </w:p>
    <w:p>
      <w:pPr>
        <w:spacing w:line="360" w:lineRule="auto"/>
        <w:rPr>
          <w:b/>
          <w:bCs/>
          <w:color w:val="auto"/>
          <w:sz w:val="24"/>
        </w:rPr>
      </w:pPr>
      <w:r>
        <w:rPr>
          <w:b/>
          <w:bCs/>
          <w:color w:val="auto"/>
          <w:sz w:val="24"/>
        </w:rPr>
        <w:t>4.3.3</w:t>
      </w:r>
      <w:r>
        <w:rPr>
          <w:bCs/>
          <w:color w:val="auto"/>
          <w:sz w:val="24"/>
        </w:rPr>
        <w:t xml:space="preserve"> </w:t>
      </w:r>
      <w:r>
        <w:rPr>
          <w:rFonts w:hint="eastAsia"/>
          <w:bCs/>
          <w:color w:val="auto"/>
          <w:sz w:val="24"/>
          <w:lang w:val="en-US" w:eastAsia="zh-CN"/>
        </w:rPr>
        <w:t xml:space="preserve"> </w:t>
      </w:r>
      <w:r>
        <w:rPr>
          <w:rFonts w:hint="eastAsia"/>
          <w:bCs/>
          <w:color w:val="auto"/>
          <w:sz w:val="24"/>
          <w:lang w:val="en-US" w:eastAsia="zh-CN"/>
        </w:rPr>
        <w:t>特细砂</w:t>
      </w:r>
      <w:r>
        <w:rPr>
          <w:rFonts w:hint="eastAsia"/>
          <w:bCs/>
          <w:color w:val="auto"/>
          <w:sz w:val="24"/>
        </w:rPr>
        <w:t>取样、验收规定按《普通混凝土用砂、石质量及检验方法标准》</w:t>
      </w:r>
      <w:r>
        <w:rPr>
          <w:bCs/>
          <w:color w:val="auto"/>
          <w:sz w:val="24"/>
        </w:rPr>
        <w:t>JGJ52</w:t>
      </w:r>
      <w:r>
        <w:rPr>
          <w:rFonts w:hint="eastAsia"/>
          <w:bCs/>
          <w:color w:val="auto"/>
          <w:sz w:val="24"/>
        </w:rPr>
        <w:t>执行。</w:t>
      </w: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spacing w:line="220" w:lineRule="atLeast"/>
        <w:rPr>
          <w:rFonts w:hint="eastAsia"/>
          <w:color w:val="auto"/>
          <w:sz w:val="24"/>
        </w:rPr>
      </w:pPr>
    </w:p>
    <w:p>
      <w:pPr>
        <w:pStyle w:val="2"/>
        <w:keepNext/>
        <w:keepLines/>
        <w:pageBreakBefore w:val="0"/>
        <w:widowControl w:val="0"/>
        <w:kinsoku/>
        <w:wordWrap/>
        <w:overflowPunct/>
        <w:topLinePunct w:val="0"/>
        <w:autoSpaceDE/>
        <w:autoSpaceDN/>
        <w:bidi w:val="0"/>
        <w:adjustRightInd/>
        <w:snapToGrid/>
        <w:textAlignment w:val="auto"/>
        <w:rPr>
          <w:color w:val="auto"/>
        </w:rPr>
      </w:pPr>
      <w:bookmarkStart w:id="55" w:name="_Toc3088"/>
      <w:bookmarkStart w:id="56" w:name="_Toc18195"/>
      <w:bookmarkStart w:id="57" w:name="_Toc11303"/>
      <w:bookmarkStart w:id="58" w:name="_Toc10601"/>
      <w:bookmarkStart w:id="59" w:name="_Toc18710"/>
      <w:bookmarkStart w:id="60" w:name="_Toc28829"/>
      <w:bookmarkStart w:id="61" w:name="_Toc4469"/>
      <w:bookmarkStart w:id="62" w:name="_Toc21675"/>
      <w:r>
        <w:rPr>
          <w:color w:val="auto"/>
        </w:rPr>
        <w:t xml:space="preserve">5  </w:t>
      </w:r>
      <w:r>
        <w:rPr>
          <w:rFonts w:hint="eastAsia"/>
          <w:color w:val="auto"/>
        </w:rPr>
        <w:t>混凝土性能</w:t>
      </w:r>
      <w:bookmarkEnd w:id="55"/>
      <w:bookmarkEnd w:id="56"/>
    </w:p>
    <w:p>
      <w:pPr>
        <w:pStyle w:val="3"/>
        <w:keepNext/>
        <w:keepLines/>
        <w:pageBreakBefore w:val="0"/>
        <w:widowControl w:val="0"/>
        <w:kinsoku/>
        <w:wordWrap/>
        <w:overflowPunct/>
        <w:topLinePunct w:val="0"/>
        <w:autoSpaceDE/>
        <w:autoSpaceDN/>
        <w:bidi w:val="0"/>
        <w:adjustRightInd/>
        <w:snapToGrid/>
        <w:spacing w:line="416" w:lineRule="auto"/>
        <w:textAlignment w:val="auto"/>
        <w:rPr>
          <w:color w:val="auto"/>
        </w:rPr>
      </w:pPr>
      <w:bookmarkStart w:id="63" w:name="_Toc27494"/>
      <w:bookmarkStart w:id="64" w:name="_Toc5108"/>
      <w:r>
        <w:rPr>
          <w:color w:val="auto"/>
        </w:rPr>
        <w:t xml:space="preserve">5.1  </w:t>
      </w:r>
      <w:r>
        <w:rPr>
          <w:rFonts w:hint="eastAsia"/>
          <w:color w:val="auto"/>
        </w:rPr>
        <w:t>拌合物性能</w:t>
      </w:r>
      <w:bookmarkEnd w:id="63"/>
      <w:bookmarkEnd w:id="64"/>
    </w:p>
    <w:p>
      <w:pPr>
        <w:spacing w:line="360" w:lineRule="auto"/>
        <w:jc w:val="left"/>
        <w:rPr>
          <w:color w:val="auto"/>
          <w:sz w:val="24"/>
        </w:rPr>
      </w:pPr>
      <w:r>
        <w:rPr>
          <w:b/>
          <w:color w:val="auto"/>
          <w:sz w:val="24"/>
        </w:rPr>
        <w:t xml:space="preserve">5.1.1  </w:t>
      </w:r>
      <w:r>
        <w:rPr>
          <w:rFonts w:hint="eastAsia"/>
          <w:color w:val="auto"/>
          <w:sz w:val="24"/>
        </w:rPr>
        <w:t>特细砂混凝土拌合物的坍落度和扩展度等级划分及允许偏差应符合现行国家标准《混凝土质量控制标准》GB 50164的规定。</w:t>
      </w:r>
    </w:p>
    <w:p>
      <w:pPr>
        <w:spacing w:line="360" w:lineRule="auto"/>
        <w:jc w:val="left"/>
        <w:rPr>
          <w:rFonts w:ascii="宋体" w:hAnsi="宋体"/>
          <w:color w:val="auto"/>
          <w:sz w:val="28"/>
          <w:szCs w:val="28"/>
        </w:rPr>
      </w:pPr>
      <w:r>
        <w:rPr>
          <w:b/>
          <w:color w:val="auto"/>
          <w:sz w:val="24"/>
        </w:rPr>
        <w:t xml:space="preserve">5.1.2  </w:t>
      </w:r>
      <w:r>
        <w:rPr>
          <w:rFonts w:hint="eastAsia"/>
          <w:color w:val="auto"/>
          <w:sz w:val="24"/>
        </w:rPr>
        <w:t>特细砂混凝土拌合物的工作性能应满足工程设计和施工要求；用于泵送的特细砂混凝土拌合物坍落度经时损失</w:t>
      </w:r>
      <w:r>
        <w:rPr>
          <w:rFonts w:hint="eastAsia"/>
          <w:color w:val="auto"/>
          <w:sz w:val="24"/>
        </w:rPr>
        <w:t>应小于等于</w:t>
      </w:r>
      <w:r>
        <w:rPr>
          <w:color w:val="auto"/>
          <w:sz w:val="24"/>
        </w:rPr>
        <w:t>30mm/h</w:t>
      </w:r>
      <w:r>
        <w:rPr>
          <w:rFonts w:hint="eastAsia"/>
          <w:color w:val="auto"/>
          <w:sz w:val="24"/>
        </w:rPr>
        <w:t>。</w:t>
      </w:r>
    </w:p>
    <w:p>
      <w:pPr>
        <w:spacing w:line="360" w:lineRule="auto"/>
        <w:jc w:val="left"/>
        <w:rPr>
          <w:rFonts w:ascii="宋体" w:hAnsi="宋体"/>
          <w:color w:val="auto"/>
          <w:sz w:val="28"/>
          <w:szCs w:val="28"/>
        </w:rPr>
      </w:pPr>
      <w:r>
        <w:rPr>
          <w:b/>
          <w:color w:val="auto"/>
          <w:sz w:val="24"/>
        </w:rPr>
        <w:t xml:space="preserve">5.1.3  </w:t>
      </w:r>
      <w:r>
        <w:rPr>
          <w:rFonts w:hint="eastAsia"/>
          <w:color w:val="auto"/>
          <w:sz w:val="24"/>
        </w:rPr>
        <w:t>特细砂混凝土拌合物中水溶性氯离子含量实测值应符合现行国家标准《混凝土质量控制标准》</w:t>
      </w:r>
      <w:r>
        <w:rPr>
          <w:color w:val="auto"/>
          <w:sz w:val="24"/>
        </w:rPr>
        <w:t>GB 50164</w:t>
      </w:r>
      <w:r>
        <w:rPr>
          <w:rFonts w:hint="eastAsia"/>
          <w:color w:val="auto"/>
          <w:sz w:val="24"/>
        </w:rPr>
        <w:t>的规定。</w:t>
      </w:r>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ascii="宋体" w:hAnsi="宋体"/>
          <w:b w:val="0"/>
          <w:color w:val="auto"/>
          <w:sz w:val="32"/>
          <w:szCs w:val="32"/>
        </w:rPr>
      </w:pPr>
      <w:bookmarkStart w:id="65" w:name="_Toc18837"/>
      <w:bookmarkStart w:id="66" w:name="_Toc6296"/>
      <w:r>
        <w:rPr>
          <w:color w:val="auto"/>
        </w:rPr>
        <w:t xml:space="preserve">5.2  </w:t>
      </w:r>
      <w:r>
        <w:rPr>
          <w:rFonts w:hint="eastAsia"/>
          <w:color w:val="auto"/>
        </w:rPr>
        <w:t>力学性能</w:t>
      </w:r>
      <w:bookmarkEnd w:id="65"/>
      <w:bookmarkEnd w:id="66"/>
    </w:p>
    <w:p>
      <w:pPr>
        <w:spacing w:line="360" w:lineRule="auto"/>
        <w:jc w:val="left"/>
        <w:rPr>
          <w:rFonts w:hint="eastAsia"/>
          <w:color w:val="auto"/>
          <w:sz w:val="24"/>
        </w:rPr>
      </w:pPr>
      <w:r>
        <w:rPr>
          <w:b/>
          <w:color w:val="auto"/>
          <w:sz w:val="24"/>
        </w:rPr>
        <w:t xml:space="preserve">5.2.1  </w:t>
      </w:r>
      <w:r>
        <w:rPr>
          <w:rFonts w:hint="eastAsia"/>
          <w:color w:val="auto"/>
          <w:sz w:val="24"/>
        </w:rPr>
        <w:t>特细砂混凝土的强度等级</w:t>
      </w:r>
      <w:r>
        <w:rPr>
          <w:rFonts w:hint="eastAsia"/>
          <w:color w:val="auto"/>
          <w:sz w:val="24"/>
          <w:lang w:eastAsia="zh-CN"/>
        </w:rPr>
        <w:t>宜</w:t>
      </w:r>
      <w:r>
        <w:rPr>
          <w:rFonts w:hint="eastAsia"/>
          <w:color w:val="auto"/>
          <w:sz w:val="24"/>
        </w:rPr>
        <w:t>划分为：</w:t>
      </w:r>
      <w:r>
        <w:rPr>
          <w:color w:val="auto"/>
          <w:sz w:val="24"/>
        </w:rPr>
        <w:t>C15</w:t>
      </w:r>
      <w:r>
        <w:rPr>
          <w:rFonts w:hint="eastAsia"/>
          <w:color w:val="auto"/>
          <w:sz w:val="24"/>
        </w:rPr>
        <w:t>、</w:t>
      </w:r>
      <w:r>
        <w:rPr>
          <w:color w:val="auto"/>
          <w:sz w:val="24"/>
        </w:rPr>
        <w:t>C20</w:t>
      </w:r>
      <w:r>
        <w:rPr>
          <w:rFonts w:hint="eastAsia"/>
          <w:color w:val="auto"/>
          <w:sz w:val="24"/>
        </w:rPr>
        <w:t>、</w:t>
      </w:r>
      <w:r>
        <w:rPr>
          <w:color w:val="auto"/>
          <w:sz w:val="24"/>
        </w:rPr>
        <w:t>C25</w:t>
      </w:r>
      <w:r>
        <w:rPr>
          <w:rFonts w:hint="eastAsia"/>
          <w:color w:val="auto"/>
          <w:sz w:val="24"/>
        </w:rPr>
        <w:t>、</w:t>
      </w:r>
      <w:r>
        <w:rPr>
          <w:color w:val="auto"/>
          <w:sz w:val="24"/>
        </w:rPr>
        <w:t>C30</w:t>
      </w:r>
      <w:r>
        <w:rPr>
          <w:rFonts w:hint="eastAsia"/>
          <w:color w:val="auto"/>
          <w:sz w:val="24"/>
        </w:rPr>
        <w:t>、</w:t>
      </w:r>
      <w:r>
        <w:rPr>
          <w:color w:val="auto"/>
          <w:sz w:val="24"/>
        </w:rPr>
        <w:t>C35</w:t>
      </w:r>
      <w:r>
        <w:rPr>
          <w:rFonts w:hint="eastAsia"/>
          <w:color w:val="auto"/>
          <w:sz w:val="24"/>
          <w:lang w:eastAsia="zh-CN"/>
        </w:rPr>
        <w:t>、</w:t>
      </w:r>
      <w:r>
        <w:rPr>
          <w:color w:val="auto"/>
          <w:sz w:val="24"/>
        </w:rPr>
        <w:t>C40</w:t>
      </w:r>
      <w:r>
        <w:rPr>
          <w:rFonts w:hint="eastAsia"/>
          <w:color w:val="auto"/>
          <w:sz w:val="24"/>
          <w:lang w:eastAsia="zh-CN"/>
        </w:rPr>
        <w:t>、</w:t>
      </w:r>
      <w:r>
        <w:rPr>
          <w:color w:val="auto"/>
          <w:sz w:val="24"/>
        </w:rPr>
        <w:t>C4</w:t>
      </w:r>
      <w:r>
        <w:rPr>
          <w:rFonts w:hint="eastAsia"/>
          <w:color w:val="auto"/>
          <w:sz w:val="24"/>
          <w:lang w:val="en-US" w:eastAsia="zh-CN"/>
        </w:rPr>
        <w:t>5和</w:t>
      </w:r>
      <w:r>
        <w:rPr>
          <w:color w:val="auto"/>
          <w:sz w:val="24"/>
        </w:rPr>
        <w:t>C</w:t>
      </w:r>
      <w:r>
        <w:rPr>
          <w:rFonts w:hint="eastAsia"/>
          <w:color w:val="auto"/>
          <w:sz w:val="24"/>
          <w:lang w:val="en-US" w:eastAsia="zh-CN"/>
        </w:rPr>
        <w:t>50</w:t>
      </w:r>
      <w:r>
        <w:rPr>
          <w:rFonts w:hint="eastAsia"/>
          <w:color w:val="auto"/>
          <w:sz w:val="24"/>
        </w:rPr>
        <w:t>。</w:t>
      </w:r>
    </w:p>
    <w:p>
      <w:pPr>
        <w:spacing w:line="360" w:lineRule="auto"/>
        <w:jc w:val="left"/>
        <w:rPr>
          <w:rFonts w:hint="eastAsia"/>
          <w:color w:val="auto"/>
          <w:sz w:val="24"/>
        </w:rPr>
      </w:pPr>
      <w:r>
        <w:rPr>
          <w:b/>
          <w:color w:val="auto"/>
          <w:sz w:val="24"/>
        </w:rPr>
        <w:t>5.2.</w:t>
      </w:r>
      <w:r>
        <w:rPr>
          <w:rFonts w:hint="eastAsia"/>
          <w:b/>
          <w:color w:val="auto"/>
          <w:sz w:val="24"/>
          <w:lang w:val="en-US" w:eastAsia="zh-CN"/>
        </w:rPr>
        <w:t>2</w:t>
      </w:r>
      <w:r>
        <w:rPr>
          <w:b/>
          <w:color w:val="auto"/>
          <w:sz w:val="24"/>
        </w:rPr>
        <w:t xml:space="preserve">  </w:t>
      </w:r>
      <w:r>
        <w:rPr>
          <w:rFonts w:hint="eastAsia"/>
          <w:color w:val="auto"/>
          <w:sz w:val="24"/>
          <w:lang w:eastAsia="zh-CN"/>
        </w:rPr>
        <w:t>其他力学性能应符合</w:t>
      </w:r>
      <w:r>
        <w:rPr>
          <w:rFonts w:hint="eastAsia"/>
          <w:color w:val="auto"/>
          <w:sz w:val="24"/>
          <w:lang w:val="en-US" w:eastAsia="zh-CN"/>
        </w:rPr>
        <w:t>设计要求和有关标准规定</w:t>
      </w:r>
      <w:r>
        <w:rPr>
          <w:rFonts w:hint="eastAsia"/>
          <w:color w:val="auto"/>
          <w:sz w:val="24"/>
        </w:rPr>
        <w:t>。</w:t>
      </w:r>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ascii="宋体" w:hAnsi="宋体"/>
          <w:b w:val="0"/>
          <w:color w:val="auto"/>
          <w:sz w:val="32"/>
          <w:szCs w:val="32"/>
        </w:rPr>
      </w:pPr>
      <w:bookmarkStart w:id="67" w:name="_Toc13987"/>
      <w:bookmarkStart w:id="68" w:name="_Toc12104"/>
      <w:r>
        <w:rPr>
          <w:color w:val="auto"/>
        </w:rPr>
        <w:t xml:space="preserve">5.3  </w:t>
      </w:r>
      <w:r>
        <w:rPr>
          <w:rFonts w:hint="eastAsia"/>
          <w:color w:val="auto"/>
        </w:rPr>
        <w:t>长</w:t>
      </w:r>
      <w:r>
        <w:rPr>
          <w:rFonts w:hint="eastAsia"/>
          <w:color w:val="auto"/>
          <w:lang w:eastAsia="zh-CN"/>
        </w:rPr>
        <w:t>期</w:t>
      </w:r>
      <w:r>
        <w:rPr>
          <w:rFonts w:hint="eastAsia"/>
          <w:color w:val="auto"/>
        </w:rPr>
        <w:t>性能和耐久性能</w:t>
      </w:r>
      <w:bookmarkEnd w:id="67"/>
      <w:bookmarkEnd w:id="68"/>
    </w:p>
    <w:p>
      <w:pPr>
        <w:spacing w:line="360" w:lineRule="auto"/>
        <w:jc w:val="left"/>
        <w:rPr>
          <w:rFonts w:ascii="宋体" w:hAnsi="宋体"/>
          <w:color w:val="auto"/>
          <w:sz w:val="28"/>
          <w:szCs w:val="28"/>
        </w:rPr>
      </w:pPr>
      <w:r>
        <w:rPr>
          <w:b/>
          <w:color w:val="auto"/>
          <w:sz w:val="24"/>
        </w:rPr>
        <w:t xml:space="preserve">5.3.1  </w:t>
      </w:r>
      <w:r>
        <w:rPr>
          <w:rFonts w:hint="eastAsia"/>
          <w:color w:val="auto"/>
          <w:sz w:val="24"/>
        </w:rPr>
        <w:t>特细砂混凝土的早期抗裂性能应符合</w:t>
      </w:r>
      <w:r>
        <w:rPr>
          <w:rFonts w:hint="eastAsia"/>
          <w:color w:val="auto"/>
          <w:sz w:val="24"/>
          <w:lang w:val="en-US" w:eastAsia="zh-CN"/>
        </w:rPr>
        <w:t>设计</w:t>
      </w:r>
      <w:r>
        <w:rPr>
          <w:rFonts w:hint="eastAsia"/>
          <w:color w:val="auto"/>
          <w:sz w:val="24"/>
        </w:rPr>
        <w:t>要</w:t>
      </w:r>
      <w:r>
        <w:rPr>
          <w:rFonts w:hint="eastAsia"/>
          <w:color w:val="auto"/>
          <w:sz w:val="24"/>
        </w:rPr>
        <w:t>求。</w:t>
      </w:r>
    </w:p>
    <w:p>
      <w:pPr>
        <w:spacing w:line="360" w:lineRule="auto"/>
        <w:jc w:val="left"/>
        <w:rPr>
          <w:rFonts w:hint="eastAsia"/>
          <w:color w:val="auto"/>
          <w:sz w:val="24"/>
        </w:rPr>
      </w:pPr>
      <w:r>
        <w:rPr>
          <w:b/>
          <w:color w:val="auto"/>
          <w:sz w:val="24"/>
        </w:rPr>
        <w:t>5.3.2</w:t>
      </w:r>
      <w:r>
        <w:rPr>
          <w:color w:val="auto"/>
          <w:sz w:val="24"/>
        </w:rPr>
        <w:t xml:space="preserve">  </w:t>
      </w:r>
      <w:r>
        <w:rPr>
          <w:rFonts w:hint="eastAsia"/>
          <w:color w:val="auto"/>
          <w:sz w:val="24"/>
        </w:rPr>
        <w:t>特细砂混凝土的收缩和徐变性能应符</w:t>
      </w:r>
      <w:r>
        <w:rPr>
          <w:rFonts w:hint="eastAsia"/>
          <w:color w:val="auto"/>
          <w:sz w:val="24"/>
        </w:rPr>
        <w:t>合</w:t>
      </w:r>
      <w:r>
        <w:rPr>
          <w:rFonts w:hint="eastAsia"/>
          <w:color w:val="auto"/>
          <w:sz w:val="24"/>
          <w:lang w:val="en-US" w:eastAsia="zh-CN"/>
        </w:rPr>
        <w:t>设计</w:t>
      </w:r>
      <w:r>
        <w:rPr>
          <w:rFonts w:hint="eastAsia"/>
          <w:color w:val="auto"/>
          <w:sz w:val="24"/>
        </w:rPr>
        <w:t>要</w:t>
      </w:r>
      <w:r>
        <w:rPr>
          <w:rFonts w:hint="eastAsia"/>
          <w:color w:val="auto"/>
          <w:sz w:val="24"/>
        </w:rPr>
        <w:t>求。</w:t>
      </w:r>
    </w:p>
    <w:p>
      <w:pPr>
        <w:spacing w:line="360" w:lineRule="auto"/>
        <w:jc w:val="left"/>
        <w:rPr>
          <w:rFonts w:hint="eastAsia"/>
          <w:color w:val="auto"/>
          <w:sz w:val="24"/>
        </w:rPr>
      </w:pPr>
      <w:r>
        <w:rPr>
          <w:b/>
          <w:color w:val="auto"/>
          <w:sz w:val="24"/>
        </w:rPr>
        <w:t>5.3.3</w:t>
      </w:r>
      <w:r>
        <w:rPr>
          <w:color w:val="auto"/>
          <w:sz w:val="24"/>
        </w:rPr>
        <w:t xml:space="preserve">  </w:t>
      </w:r>
      <w:r>
        <w:rPr>
          <w:rFonts w:hint="eastAsia"/>
          <w:color w:val="auto"/>
          <w:sz w:val="24"/>
        </w:rPr>
        <w:t>特细砂混凝土的抗冻、抗渗、抗硫酸盐侵蚀、抗氯离子渗透、抗碳化等耐久性能应符合</w:t>
      </w:r>
      <w:r>
        <w:rPr>
          <w:rFonts w:hint="eastAsia"/>
          <w:color w:val="auto"/>
          <w:sz w:val="24"/>
          <w:lang w:eastAsia="zh-CN"/>
        </w:rPr>
        <w:t>设计</w:t>
      </w:r>
      <w:r>
        <w:rPr>
          <w:rFonts w:hint="eastAsia"/>
          <w:color w:val="auto"/>
          <w:sz w:val="24"/>
        </w:rPr>
        <w:t>要求；当设计无要求时，特细砂混凝土耐久性能应符合现行国家标准《混凝土耐久性设计规范》GB/T 50476的规定。</w:t>
      </w:r>
    </w:p>
    <w:p>
      <w:pPr>
        <w:spacing w:line="360" w:lineRule="auto"/>
        <w:jc w:val="left"/>
        <w:rPr>
          <w:b/>
          <w:color w:val="auto"/>
          <w:sz w:val="24"/>
        </w:rPr>
      </w:pPr>
      <w:r>
        <w:rPr>
          <w:b/>
          <w:color w:val="auto"/>
          <w:sz w:val="24"/>
        </w:rPr>
        <w:t xml:space="preserve">5.3.4  </w:t>
      </w:r>
      <w:r>
        <w:rPr>
          <w:rFonts w:hint="eastAsia"/>
          <w:bCs/>
          <w:color w:val="auto"/>
          <w:sz w:val="24"/>
        </w:rPr>
        <w:t>特细砂混凝土的总碱含量应符合现行国家标准《混凝土结构设计规范》</w:t>
      </w:r>
      <w:r>
        <w:rPr>
          <w:bCs/>
          <w:color w:val="auto"/>
          <w:sz w:val="24"/>
        </w:rPr>
        <w:t>GB 50010</w:t>
      </w:r>
      <w:r>
        <w:rPr>
          <w:rFonts w:hint="eastAsia"/>
          <w:bCs/>
          <w:color w:val="auto"/>
          <w:sz w:val="24"/>
        </w:rPr>
        <w:t>的规定。当可能存在碱骨料反应危害时，特细砂混凝土应符合现行国家标准《预防混凝土碱骨料反应技术规范》</w:t>
      </w:r>
      <w:r>
        <w:rPr>
          <w:bCs/>
          <w:color w:val="auto"/>
          <w:sz w:val="24"/>
        </w:rPr>
        <w:t>GB/T 50733</w:t>
      </w:r>
      <w:r>
        <w:rPr>
          <w:rFonts w:hint="eastAsia"/>
          <w:bCs/>
          <w:color w:val="auto"/>
          <w:sz w:val="24"/>
        </w:rPr>
        <w:t>的规定。</w:t>
      </w:r>
    </w:p>
    <w:p>
      <w:pPr>
        <w:spacing w:line="360" w:lineRule="auto"/>
        <w:jc w:val="left"/>
        <w:rPr>
          <w:rFonts w:hint="eastAsia"/>
          <w:bCs/>
          <w:color w:val="auto"/>
          <w:sz w:val="24"/>
        </w:rPr>
      </w:pPr>
      <w:r>
        <w:rPr>
          <w:b/>
          <w:color w:val="auto"/>
          <w:sz w:val="24"/>
        </w:rPr>
        <w:t xml:space="preserve">5.3.5  </w:t>
      </w:r>
      <w:r>
        <w:rPr>
          <w:rFonts w:hint="eastAsia"/>
          <w:bCs/>
          <w:color w:val="auto"/>
          <w:sz w:val="24"/>
        </w:rPr>
        <w:t>特细砂混凝土碱含量宜按照现行行业标准《普通混凝土配合比设计标准》</w:t>
      </w:r>
      <w:r>
        <w:rPr>
          <w:bCs/>
          <w:color w:val="auto"/>
          <w:sz w:val="24"/>
        </w:rPr>
        <w:t>JGJ 55</w:t>
      </w:r>
      <w:r>
        <w:rPr>
          <w:rFonts w:hint="eastAsia"/>
          <w:bCs/>
          <w:color w:val="auto"/>
          <w:sz w:val="24"/>
        </w:rPr>
        <w:t>规定的试验方法进行测定和计算</w:t>
      </w:r>
      <w:r>
        <w:rPr>
          <w:rFonts w:hint="eastAsia"/>
          <w:bCs/>
          <w:color w:val="auto"/>
          <w:sz w:val="24"/>
          <w:lang w:eastAsia="zh-CN"/>
        </w:rPr>
        <w:t>。</w:t>
      </w:r>
    </w:p>
    <w:p>
      <w:pPr>
        <w:spacing w:line="360" w:lineRule="auto"/>
        <w:jc w:val="left"/>
        <w:rPr>
          <w:rFonts w:ascii="宋体" w:hAnsi="宋体"/>
          <w:color w:val="auto"/>
          <w:sz w:val="28"/>
          <w:szCs w:val="28"/>
        </w:rPr>
      </w:pPr>
    </w:p>
    <w:bookmarkEnd w:id="57"/>
    <w:bookmarkEnd w:id="58"/>
    <w:bookmarkEnd w:id="59"/>
    <w:bookmarkEnd w:id="60"/>
    <w:bookmarkEnd w:id="61"/>
    <w:bookmarkEnd w:id="62"/>
    <w:p>
      <w:pPr>
        <w:pStyle w:val="2"/>
        <w:keepNext/>
        <w:keepLines/>
        <w:pageBreakBefore w:val="0"/>
        <w:widowControl w:val="0"/>
        <w:kinsoku/>
        <w:wordWrap/>
        <w:overflowPunct/>
        <w:topLinePunct w:val="0"/>
        <w:autoSpaceDE/>
        <w:autoSpaceDN/>
        <w:bidi w:val="0"/>
        <w:adjustRightInd/>
        <w:snapToGrid/>
        <w:textAlignment w:val="auto"/>
        <w:rPr>
          <w:color w:val="auto"/>
        </w:rPr>
      </w:pPr>
      <w:bookmarkStart w:id="69" w:name="_Toc9239"/>
      <w:bookmarkStart w:id="70" w:name="_Toc2581"/>
      <w:bookmarkStart w:id="71" w:name="_Toc32656"/>
      <w:bookmarkStart w:id="72" w:name="_Toc28417"/>
      <w:bookmarkStart w:id="73" w:name="_Toc27980"/>
      <w:bookmarkStart w:id="74" w:name="_Toc22992"/>
      <w:bookmarkStart w:id="75" w:name="_Toc2363"/>
      <w:bookmarkStart w:id="76" w:name="_Toc7013"/>
      <w:r>
        <w:rPr>
          <w:rFonts w:hint="eastAsia"/>
          <w:color w:val="auto"/>
        </w:rPr>
        <w:t>6</w:t>
      </w:r>
      <w:r>
        <w:rPr>
          <w:color w:val="auto"/>
        </w:rPr>
        <w:t xml:space="preserve">  </w:t>
      </w:r>
      <w:r>
        <w:rPr>
          <w:rFonts w:hint="eastAsia"/>
          <w:color w:val="auto"/>
        </w:rPr>
        <w:t>配合比</w:t>
      </w:r>
      <w:bookmarkEnd w:id="69"/>
      <w:bookmarkEnd w:id="70"/>
    </w:p>
    <w:p>
      <w:pPr>
        <w:keepNext w:val="0"/>
        <w:keepLines w:val="0"/>
        <w:pageBreakBefore w:val="0"/>
        <w:widowControl w:val="0"/>
        <w:kinsoku/>
        <w:wordWrap/>
        <w:overflowPunct/>
        <w:topLinePunct w:val="0"/>
        <w:autoSpaceDE/>
        <w:autoSpaceDN/>
        <w:bidi w:val="0"/>
        <w:adjustRightInd/>
        <w:snapToGrid/>
        <w:jc w:val="center"/>
        <w:textAlignment w:val="auto"/>
        <w:outlineLvl w:val="1"/>
        <w:rPr>
          <w:b/>
          <w:color w:val="auto"/>
          <w:sz w:val="28"/>
          <w:szCs w:val="28"/>
        </w:rPr>
      </w:pPr>
      <w:bookmarkStart w:id="77" w:name="_Toc7064"/>
      <w:bookmarkStart w:id="78" w:name="_Toc14085"/>
      <w:r>
        <w:rPr>
          <w:b/>
          <w:color w:val="auto"/>
          <w:sz w:val="28"/>
          <w:szCs w:val="28"/>
        </w:rPr>
        <w:t>6.1</w:t>
      </w:r>
      <w:r>
        <w:rPr>
          <w:b/>
          <w:color w:val="auto"/>
          <w:sz w:val="28"/>
          <w:szCs w:val="28"/>
        </w:rPr>
        <w:tab/>
      </w:r>
      <w:r>
        <w:rPr>
          <w:b/>
          <w:color w:val="auto"/>
          <w:sz w:val="28"/>
          <w:szCs w:val="28"/>
        </w:rPr>
        <w:t>一般规定</w:t>
      </w:r>
      <w:bookmarkEnd w:id="77"/>
      <w:bookmarkEnd w:id="78"/>
    </w:p>
    <w:p>
      <w:pPr>
        <w:spacing w:line="360" w:lineRule="auto"/>
        <w:rPr>
          <w:color w:val="auto"/>
          <w:sz w:val="24"/>
        </w:rPr>
      </w:pPr>
      <w:r>
        <w:rPr>
          <w:b/>
          <w:color w:val="auto"/>
          <w:sz w:val="24"/>
        </w:rPr>
        <w:t>6.1.1</w:t>
      </w:r>
      <w:r>
        <w:rPr>
          <w:color w:val="auto"/>
          <w:sz w:val="24"/>
        </w:rPr>
        <w:t xml:space="preserve"> </w:t>
      </w:r>
      <w:r>
        <w:rPr>
          <w:rFonts w:hint="eastAsia"/>
          <w:color w:val="auto"/>
          <w:sz w:val="24"/>
        </w:rPr>
        <w:t xml:space="preserve"> </w:t>
      </w:r>
      <w:r>
        <w:rPr>
          <w:color w:val="auto"/>
          <w:sz w:val="24"/>
        </w:rPr>
        <w:t>不同环境作用等级、设计使用年限及不同强度等级的特细砂混凝土对应的最大水胶比应符合现行国家标准《混凝土结构耐久</w:t>
      </w:r>
      <w:r>
        <w:rPr>
          <w:rFonts w:hint="eastAsia"/>
          <w:color w:val="auto"/>
          <w:sz w:val="24"/>
        </w:rPr>
        <w:t>性设计标准》</w:t>
      </w:r>
      <w:r>
        <w:rPr>
          <w:color w:val="auto"/>
          <w:sz w:val="24"/>
        </w:rPr>
        <w:t>GB/T 50476的规定。</w:t>
      </w:r>
    </w:p>
    <w:p>
      <w:pPr>
        <w:spacing w:line="360" w:lineRule="auto"/>
        <w:rPr>
          <w:bCs/>
          <w:color w:val="auto"/>
          <w:sz w:val="24"/>
        </w:rPr>
      </w:pPr>
      <w:r>
        <w:rPr>
          <w:b/>
          <w:color w:val="auto"/>
          <w:sz w:val="24"/>
        </w:rPr>
        <w:t>6.1.2</w:t>
      </w:r>
      <w:r>
        <w:rPr>
          <w:rFonts w:hint="eastAsia"/>
          <w:b/>
          <w:color w:val="auto"/>
          <w:sz w:val="24"/>
        </w:rPr>
        <w:t xml:space="preserve">  </w:t>
      </w:r>
      <w:r>
        <w:rPr>
          <w:rFonts w:hint="eastAsia"/>
          <w:bCs/>
          <w:color w:val="auto"/>
          <w:sz w:val="24"/>
        </w:rPr>
        <w:t>特细砂混凝土的最小胶凝材料用量应按现行国家标准《普通混凝土配合比设计规程》JGJ55中的规定增加</w:t>
      </w:r>
      <w:r>
        <w:rPr>
          <w:rFonts w:hint="eastAsia"/>
          <w:bCs/>
          <w:color w:val="auto"/>
          <w:sz w:val="24"/>
          <w:lang w:eastAsia="zh-CN"/>
        </w:rPr>
        <w:t>，增加</w:t>
      </w:r>
      <w:r>
        <w:rPr>
          <w:rFonts w:hint="eastAsia"/>
          <w:bCs/>
          <w:color w:val="auto"/>
          <w:sz w:val="24"/>
        </w:rPr>
        <w:t>量不宜</w:t>
      </w:r>
      <w:r>
        <w:rPr>
          <w:rFonts w:hint="eastAsia"/>
          <w:bCs/>
          <w:color w:val="auto"/>
          <w:sz w:val="24"/>
          <w:lang w:eastAsia="zh-CN"/>
        </w:rPr>
        <w:t>小</w:t>
      </w:r>
      <w:r>
        <w:rPr>
          <w:rFonts w:hint="eastAsia"/>
          <w:bCs/>
          <w:color w:val="auto"/>
          <w:sz w:val="24"/>
        </w:rPr>
        <w:t>于30kg/m</w:t>
      </w:r>
      <w:r>
        <w:rPr>
          <w:rFonts w:hint="eastAsia"/>
          <w:bCs/>
          <w:color w:val="auto"/>
          <w:sz w:val="24"/>
          <w:vertAlign w:val="superscript"/>
        </w:rPr>
        <w:t>3</w:t>
      </w:r>
      <w:r>
        <w:rPr>
          <w:rFonts w:hint="eastAsia"/>
          <w:bCs/>
          <w:color w:val="auto"/>
          <w:sz w:val="24"/>
        </w:rPr>
        <w:t>。</w:t>
      </w:r>
    </w:p>
    <w:p>
      <w:pPr>
        <w:spacing w:line="360" w:lineRule="auto"/>
        <w:rPr>
          <w:color w:val="auto"/>
          <w:sz w:val="24"/>
        </w:rPr>
      </w:pPr>
      <w:r>
        <w:rPr>
          <w:rFonts w:hint="eastAsia"/>
          <w:b/>
          <w:color w:val="auto"/>
          <w:sz w:val="24"/>
        </w:rPr>
        <w:t xml:space="preserve">6.1.3  </w:t>
      </w:r>
      <w:r>
        <w:rPr>
          <w:rFonts w:hint="eastAsia"/>
          <w:color w:val="auto"/>
          <w:sz w:val="24"/>
        </w:rPr>
        <w:t>有特殊要求的混凝土，水泥用量不宜大</w:t>
      </w:r>
      <w:r>
        <w:rPr>
          <w:color w:val="auto"/>
          <w:sz w:val="24"/>
        </w:rPr>
        <w:t>于5</w:t>
      </w:r>
      <w:r>
        <w:rPr>
          <w:rFonts w:hint="eastAsia"/>
          <w:color w:val="auto"/>
          <w:sz w:val="24"/>
        </w:rPr>
        <w:t>0</w:t>
      </w:r>
      <w:r>
        <w:rPr>
          <w:color w:val="auto"/>
          <w:sz w:val="24"/>
        </w:rPr>
        <w:t>0kg/m</w:t>
      </w:r>
      <w:r>
        <w:rPr>
          <w:color w:val="auto"/>
          <w:sz w:val="24"/>
          <w:vertAlign w:val="superscript"/>
        </w:rPr>
        <w:t>3</w:t>
      </w:r>
      <w:r>
        <w:rPr>
          <w:color w:val="auto"/>
          <w:sz w:val="24"/>
        </w:rPr>
        <w:t>，最大水胶比、最小胶凝材料用量、矿物掺合料最大掺量应符合现行国家标准</w:t>
      </w:r>
      <w:r>
        <w:rPr>
          <w:rFonts w:hint="eastAsia"/>
          <w:color w:val="auto"/>
          <w:sz w:val="24"/>
        </w:rPr>
        <w:t>《普通混凝土配合比设</w:t>
      </w:r>
      <w:r>
        <w:rPr>
          <w:color w:val="auto"/>
          <w:sz w:val="24"/>
        </w:rPr>
        <w:t>计</w:t>
      </w:r>
      <w:r>
        <w:rPr>
          <w:rFonts w:hint="eastAsia"/>
          <w:color w:val="auto"/>
          <w:sz w:val="24"/>
        </w:rPr>
        <w:t>规程</w:t>
      </w:r>
      <w:r>
        <w:rPr>
          <w:color w:val="auto"/>
          <w:sz w:val="24"/>
        </w:rPr>
        <w:t>》JGJ55中的规定。</w:t>
      </w:r>
    </w:p>
    <w:p>
      <w:pPr>
        <w:spacing w:line="360" w:lineRule="auto"/>
        <w:rPr>
          <w:color w:val="auto"/>
          <w:sz w:val="24"/>
        </w:rPr>
      </w:pPr>
      <w:r>
        <w:rPr>
          <w:b/>
          <w:color w:val="auto"/>
          <w:sz w:val="24"/>
        </w:rPr>
        <w:t>6.1.</w:t>
      </w:r>
      <w:r>
        <w:rPr>
          <w:rFonts w:hint="eastAsia"/>
          <w:b/>
          <w:color w:val="auto"/>
          <w:sz w:val="24"/>
        </w:rPr>
        <w:t xml:space="preserve">4  </w:t>
      </w:r>
      <w:r>
        <w:rPr>
          <w:color w:val="auto"/>
          <w:sz w:val="24"/>
        </w:rPr>
        <w:t>矿物掺合料在特细砂混凝土中的掺量应通过试验确定</w:t>
      </w:r>
      <w:r>
        <w:rPr>
          <w:rFonts w:hint="eastAsia"/>
          <w:color w:val="auto"/>
          <w:sz w:val="24"/>
        </w:rPr>
        <w:t>，</w:t>
      </w:r>
      <w:r>
        <w:rPr>
          <w:color w:val="auto"/>
          <w:sz w:val="24"/>
        </w:rPr>
        <w:t>同时应符合现行国家标准</w:t>
      </w:r>
      <w:r>
        <w:rPr>
          <w:rFonts w:hint="eastAsia"/>
          <w:color w:val="auto"/>
          <w:sz w:val="24"/>
        </w:rPr>
        <w:t>《普通混凝土配合比设</w:t>
      </w:r>
      <w:r>
        <w:rPr>
          <w:color w:val="auto"/>
          <w:sz w:val="24"/>
        </w:rPr>
        <w:t>计</w:t>
      </w:r>
      <w:r>
        <w:rPr>
          <w:rFonts w:hint="eastAsia"/>
          <w:color w:val="auto"/>
          <w:sz w:val="24"/>
        </w:rPr>
        <w:t>规程</w:t>
      </w:r>
      <w:r>
        <w:rPr>
          <w:color w:val="auto"/>
          <w:sz w:val="24"/>
        </w:rPr>
        <w:t>》JGJ55中的规定</w:t>
      </w:r>
      <w:r>
        <w:rPr>
          <w:rFonts w:hint="eastAsia"/>
          <w:color w:val="auto"/>
          <w:sz w:val="24"/>
        </w:rPr>
        <w:t>。</w:t>
      </w:r>
    </w:p>
    <w:p>
      <w:pPr>
        <w:spacing w:line="360" w:lineRule="auto"/>
        <w:rPr>
          <w:color w:val="auto"/>
          <w:sz w:val="24"/>
        </w:rPr>
      </w:pPr>
      <w:r>
        <w:rPr>
          <w:rFonts w:hint="eastAsia"/>
          <w:b/>
          <w:color w:val="auto"/>
          <w:sz w:val="24"/>
        </w:rPr>
        <w:t xml:space="preserve">6.1.5  </w:t>
      </w:r>
      <w:r>
        <w:rPr>
          <w:rFonts w:hint="eastAsia"/>
          <w:color w:val="auto"/>
          <w:sz w:val="24"/>
        </w:rPr>
        <w:t>特细砂混凝土中所用外加剂的品种与掺量应根据生产、运输、施工及环境气温等因素通过试验确定，并应符合现行</w:t>
      </w:r>
      <w:r>
        <w:rPr>
          <w:color w:val="auto"/>
          <w:sz w:val="24"/>
        </w:rPr>
        <w:t>国家标准《混凝土外加剂应用技术规范》GB50119</w:t>
      </w:r>
      <w:r>
        <w:rPr>
          <w:rFonts w:hint="eastAsia"/>
          <w:color w:val="auto"/>
          <w:sz w:val="24"/>
        </w:rPr>
        <w:t>的规定。</w:t>
      </w:r>
      <w:r>
        <w:rPr>
          <w:color w:val="auto"/>
          <w:sz w:val="24"/>
        </w:rPr>
        <w:t xml:space="preserve">  </w:t>
      </w:r>
    </w:p>
    <w:p>
      <w:pPr>
        <w:spacing w:line="360" w:lineRule="auto"/>
        <w:rPr>
          <w:color w:val="auto"/>
          <w:sz w:val="24"/>
        </w:rPr>
      </w:pPr>
      <w:r>
        <w:rPr>
          <w:rFonts w:hint="eastAsia"/>
          <w:b/>
          <w:color w:val="auto"/>
          <w:sz w:val="24"/>
        </w:rPr>
        <w:t xml:space="preserve">6.1.6  </w:t>
      </w:r>
      <w:r>
        <w:rPr>
          <w:rFonts w:hint="eastAsia"/>
          <w:color w:val="auto"/>
          <w:sz w:val="24"/>
        </w:rPr>
        <w:t>当特细砂混凝土原材料</w:t>
      </w:r>
      <w:r>
        <w:rPr>
          <w:color w:val="auto"/>
          <w:sz w:val="24"/>
        </w:rPr>
        <w:t>的品种或质量有显著变化</w:t>
      </w:r>
      <w:r>
        <w:rPr>
          <w:rFonts w:hint="eastAsia"/>
          <w:color w:val="auto"/>
          <w:sz w:val="24"/>
        </w:rPr>
        <w:t>，或对混凝土性能指标提出特殊要求，或混凝土生产间隔半年以上时，应重新进行混凝土配合比设计。</w:t>
      </w:r>
    </w:p>
    <w:p>
      <w:pPr>
        <w:spacing w:line="360" w:lineRule="auto"/>
        <w:rPr>
          <w:color w:val="auto"/>
          <w:sz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b/>
          <w:bCs/>
          <w:color w:val="auto"/>
          <w:sz w:val="28"/>
          <w:szCs w:val="28"/>
        </w:rPr>
      </w:pPr>
      <w:bookmarkStart w:id="79" w:name="_Toc27232"/>
      <w:bookmarkStart w:id="80" w:name="_Toc7278"/>
      <w:r>
        <w:rPr>
          <w:rFonts w:hint="eastAsia"/>
          <w:b/>
          <w:bCs/>
          <w:color w:val="auto"/>
          <w:sz w:val="28"/>
          <w:szCs w:val="28"/>
        </w:rPr>
        <w:t>6.2 塑性特细砂混凝土</w:t>
      </w:r>
      <w:bookmarkEnd w:id="79"/>
      <w:bookmarkEnd w:id="80"/>
    </w:p>
    <w:p>
      <w:pPr>
        <w:spacing w:line="360" w:lineRule="auto"/>
        <w:rPr>
          <w:color w:val="auto"/>
          <w:sz w:val="24"/>
        </w:rPr>
      </w:pPr>
      <w:r>
        <w:rPr>
          <w:b/>
          <w:color w:val="auto"/>
          <w:sz w:val="24"/>
        </w:rPr>
        <w:t>6.2</w:t>
      </w:r>
      <w:r>
        <w:rPr>
          <w:rFonts w:hint="eastAsia"/>
          <w:b/>
          <w:color w:val="auto"/>
          <w:sz w:val="24"/>
        </w:rPr>
        <w:t xml:space="preserve">.1  </w:t>
      </w:r>
      <w:r>
        <w:rPr>
          <w:color w:val="auto"/>
          <w:sz w:val="24"/>
        </w:rPr>
        <w:t>特细砂混凝土配制强度</w:t>
      </w:r>
      <w:r>
        <w:rPr>
          <w:rFonts w:hint="eastAsia"/>
          <w:color w:val="auto"/>
          <w:sz w:val="24"/>
        </w:rPr>
        <w:t>应</w:t>
      </w:r>
      <w:r>
        <w:rPr>
          <w:color w:val="auto"/>
          <w:sz w:val="24"/>
        </w:rPr>
        <w:t>按</w:t>
      </w:r>
      <w:r>
        <w:rPr>
          <w:rFonts w:hint="eastAsia"/>
          <w:color w:val="auto"/>
          <w:sz w:val="24"/>
        </w:rPr>
        <w:t>式6.2.1计算</w:t>
      </w:r>
      <w:r>
        <w:rPr>
          <w:color w:val="auto"/>
          <w:sz w:val="24"/>
        </w:rPr>
        <w:t>确定：</w:t>
      </w:r>
    </w:p>
    <w:p>
      <w:pPr>
        <w:spacing w:line="360" w:lineRule="auto"/>
        <w:jc w:val="center"/>
        <w:rPr>
          <w:rFonts w:ascii="微软雅黑" w:hAnsi="微软雅黑" w:cs="宋体"/>
          <w:color w:val="auto"/>
          <w:sz w:val="24"/>
        </w:rPr>
      </w:pPr>
      <w:r>
        <w:rPr>
          <w:color w:val="auto"/>
          <w:sz w:val="28"/>
          <w:szCs w:val="28"/>
          <w:shd w:val="clear" w:color="auto" w:fill="FFFFFF"/>
        </w:rPr>
        <w:t>ƒ</w:t>
      </w:r>
      <w:r>
        <w:rPr>
          <w:color w:val="auto"/>
          <w:sz w:val="28"/>
          <w:szCs w:val="28"/>
          <w:vertAlign w:val="subscript"/>
        </w:rPr>
        <w:t>cu,0</w:t>
      </w:r>
      <w:r>
        <w:rPr>
          <w:rFonts w:hint="eastAsia"/>
          <w:color w:val="auto"/>
          <w:sz w:val="28"/>
          <w:szCs w:val="28"/>
          <w:vertAlign w:val="subscript"/>
        </w:rPr>
        <w:t xml:space="preserve"> </w:t>
      </w:r>
      <w:r>
        <w:rPr>
          <w:color w:val="auto"/>
          <w:sz w:val="24"/>
        </w:rPr>
        <w:t>≥</w:t>
      </w:r>
      <w:r>
        <w:rPr>
          <w:rFonts w:hint="eastAsia"/>
          <w:color w:val="auto"/>
          <w:sz w:val="24"/>
        </w:rPr>
        <w:t xml:space="preserve"> </w:t>
      </w:r>
      <w:r>
        <w:rPr>
          <w:color w:val="auto"/>
          <w:sz w:val="28"/>
          <w:szCs w:val="28"/>
          <w:shd w:val="clear" w:color="auto" w:fill="FFFFFF"/>
        </w:rPr>
        <w:t>ƒ</w:t>
      </w:r>
      <w:r>
        <w:rPr>
          <w:color w:val="auto"/>
          <w:sz w:val="28"/>
          <w:szCs w:val="28"/>
          <w:vertAlign w:val="subscript"/>
        </w:rPr>
        <w:t>cu,k</w:t>
      </w:r>
      <w:r>
        <w:rPr>
          <w:rFonts w:hint="eastAsia"/>
          <w:color w:val="auto"/>
          <w:sz w:val="28"/>
          <w:szCs w:val="28"/>
          <w:vertAlign w:val="subscript"/>
        </w:rPr>
        <w:t xml:space="preserve"> </w:t>
      </w:r>
      <w:r>
        <w:rPr>
          <w:color w:val="auto"/>
          <w:sz w:val="24"/>
        </w:rPr>
        <w:t>+</w:t>
      </w:r>
      <w:r>
        <w:rPr>
          <w:rFonts w:hint="eastAsia"/>
          <w:color w:val="auto"/>
          <w:sz w:val="24"/>
        </w:rPr>
        <w:t xml:space="preserve"> </w:t>
      </w:r>
      <w:r>
        <w:rPr>
          <w:color w:val="auto"/>
          <w:sz w:val="24"/>
        </w:rPr>
        <w:t>1.645σ</w:t>
      </w:r>
      <w:r>
        <w:rPr>
          <w:rFonts w:hint="eastAsia" w:ascii="微软雅黑" w:hAnsi="微软雅黑" w:cs="宋体"/>
          <w:color w:val="auto"/>
          <w:sz w:val="24"/>
        </w:rPr>
        <w:t xml:space="preserve">     </w:t>
      </w:r>
      <w:r>
        <w:rPr>
          <w:rFonts w:hint="eastAsia"/>
          <w:color w:val="auto"/>
          <w:sz w:val="24"/>
        </w:rPr>
        <w:t>（6.2.1）</w:t>
      </w:r>
    </w:p>
    <w:p>
      <w:pPr>
        <w:spacing w:line="360" w:lineRule="auto"/>
        <w:jc w:val="left"/>
        <w:rPr>
          <w:color w:val="auto"/>
          <w:sz w:val="24"/>
        </w:rPr>
      </w:pPr>
      <w:r>
        <w:rPr>
          <w:rFonts w:hint="eastAsia"/>
          <w:bCs/>
          <w:color w:val="auto"/>
          <w:sz w:val="24"/>
        </w:rPr>
        <w:t>式中：</w:t>
      </w:r>
      <w:r>
        <w:rPr>
          <w:rFonts w:ascii="Arial" w:hAnsi="Arial" w:cs="Arial"/>
          <w:color w:val="auto"/>
          <w:sz w:val="24"/>
          <w:shd w:val="clear" w:color="auto" w:fill="FFFFFF"/>
        </w:rPr>
        <w:t>ƒ</w:t>
      </w:r>
      <w:r>
        <w:rPr>
          <w:color w:val="auto"/>
          <w:sz w:val="24"/>
          <w:vertAlign w:val="subscript"/>
        </w:rPr>
        <w:t>cu,0</w:t>
      </w:r>
      <w:r>
        <w:rPr>
          <w:rFonts w:hint="eastAsia"/>
          <w:color w:val="auto"/>
          <w:sz w:val="24"/>
        </w:rPr>
        <w:t>——特细砂混凝土配制强度（MPa）；</w:t>
      </w:r>
    </w:p>
    <w:p>
      <w:pPr>
        <w:spacing w:line="360" w:lineRule="auto"/>
        <w:jc w:val="left"/>
        <w:rPr>
          <w:color w:val="auto"/>
          <w:sz w:val="24"/>
        </w:rPr>
      </w:pPr>
      <w:r>
        <w:rPr>
          <w:rFonts w:ascii="Arial" w:hAnsi="Arial" w:cs="Arial"/>
          <w:color w:val="auto"/>
          <w:sz w:val="24"/>
          <w:shd w:val="clear" w:color="auto" w:fill="FFFFFF"/>
        </w:rPr>
        <w:t>ƒ</w:t>
      </w:r>
      <w:r>
        <w:rPr>
          <w:color w:val="auto"/>
          <w:sz w:val="24"/>
          <w:vertAlign w:val="subscript"/>
        </w:rPr>
        <w:t>cu,k</w:t>
      </w:r>
      <w:r>
        <w:rPr>
          <w:rFonts w:hint="eastAsia"/>
          <w:color w:val="auto"/>
          <w:sz w:val="24"/>
        </w:rPr>
        <w:t>——混凝土立方体抗压强度标准值，这里取混凝土的设计强度等级值（MPa）；</w:t>
      </w:r>
    </w:p>
    <w:p>
      <w:pPr>
        <w:spacing w:line="360" w:lineRule="auto"/>
        <w:jc w:val="left"/>
        <w:rPr>
          <w:b/>
          <w:color w:val="auto"/>
          <w:sz w:val="24"/>
        </w:rPr>
      </w:pPr>
      <w:r>
        <w:rPr>
          <w:rFonts w:hint="eastAsia"/>
          <w:color w:val="auto"/>
          <w:sz w:val="24"/>
        </w:rPr>
        <w:t>σ——混凝土强度标准差（MPa）。</w:t>
      </w:r>
    </w:p>
    <w:p>
      <w:pPr>
        <w:spacing w:line="360" w:lineRule="auto"/>
        <w:rPr>
          <w:color w:val="auto"/>
          <w:sz w:val="24"/>
        </w:rPr>
      </w:pPr>
      <w:r>
        <w:rPr>
          <w:b/>
          <w:color w:val="auto"/>
          <w:sz w:val="24"/>
        </w:rPr>
        <w:t>6.2</w:t>
      </w:r>
      <w:r>
        <w:rPr>
          <w:rFonts w:hint="eastAsia"/>
          <w:b/>
          <w:color w:val="auto"/>
          <w:sz w:val="24"/>
        </w:rPr>
        <w:t xml:space="preserve">.2  </w:t>
      </w:r>
      <w:r>
        <w:rPr>
          <w:color w:val="auto"/>
          <w:sz w:val="24"/>
        </w:rPr>
        <w:t>混凝土强度标准差</w:t>
      </w:r>
      <w:r>
        <w:rPr>
          <w:rFonts w:hint="eastAsia"/>
          <w:color w:val="auto"/>
          <w:sz w:val="24"/>
        </w:rPr>
        <w:t>应</w:t>
      </w:r>
      <w:r>
        <w:rPr>
          <w:color w:val="auto"/>
          <w:sz w:val="24"/>
        </w:rPr>
        <w:t>按照下列规定确定：</w:t>
      </w:r>
      <w:r>
        <w:rPr>
          <w:rFonts w:ascii="Cambria Math" w:hAnsi="Cambria Math"/>
          <w:i/>
          <w:color w:val="auto"/>
          <w:sz w:val="32"/>
          <w:szCs w:val="32"/>
        </w:rPr>
        <w:br w:type="textWrapping"/>
      </w:r>
      <w:r>
        <w:rPr>
          <w:b/>
          <w:bCs/>
          <w:color w:val="auto"/>
          <w:sz w:val="24"/>
        </w:rPr>
        <w:t>1</w:t>
      </w:r>
      <w:r>
        <w:rPr>
          <w:color w:val="auto"/>
          <w:sz w:val="24"/>
        </w:rPr>
        <w:t xml:space="preserve"> 当具有近</w:t>
      </w:r>
      <w:r>
        <w:rPr>
          <w:rFonts w:hint="eastAsia"/>
          <w:color w:val="auto"/>
          <w:sz w:val="24"/>
          <w:lang w:eastAsia="zh-CN"/>
        </w:rPr>
        <w:t>（</w:t>
      </w:r>
      <w:r>
        <w:rPr>
          <w:color w:val="auto"/>
          <w:sz w:val="24"/>
        </w:rPr>
        <w:t>1</w:t>
      </w:r>
      <w:r>
        <w:rPr>
          <w:rFonts w:hint="eastAsia"/>
          <w:color w:val="auto"/>
          <w:sz w:val="24"/>
        </w:rPr>
        <w:t>~</w:t>
      </w:r>
      <w:r>
        <w:rPr>
          <w:color w:val="auto"/>
          <w:sz w:val="24"/>
        </w:rPr>
        <w:t>3</w:t>
      </w:r>
      <w:r>
        <w:rPr>
          <w:rFonts w:hint="eastAsia"/>
          <w:color w:val="auto"/>
          <w:sz w:val="24"/>
          <w:lang w:eastAsia="zh-CN"/>
        </w:rPr>
        <w:t>）</w:t>
      </w:r>
      <w:r>
        <w:rPr>
          <w:color w:val="auto"/>
          <w:sz w:val="24"/>
        </w:rPr>
        <w:t>个月</w:t>
      </w:r>
      <w:r>
        <w:rPr>
          <w:color w:val="auto"/>
          <w:sz w:val="24"/>
        </w:rPr>
        <w:t>的同一品种、同一强度等级的特细砂混凝土强度资料时，且试件组数不小于</w:t>
      </w:r>
      <w:r>
        <w:rPr>
          <w:rFonts w:hint="eastAsia"/>
          <w:color w:val="auto"/>
          <w:sz w:val="24"/>
        </w:rPr>
        <w:t>30时，其</w:t>
      </w:r>
      <w:r>
        <w:rPr>
          <w:color w:val="auto"/>
          <w:sz w:val="24"/>
        </w:rPr>
        <w:t>强度标准差</w:t>
      </w:r>
      <w:r>
        <w:rPr>
          <w:rFonts w:hint="eastAsia"/>
          <w:color w:val="auto"/>
          <w:sz w:val="24"/>
        </w:rPr>
        <w:t>σ应</w:t>
      </w:r>
      <w:r>
        <w:rPr>
          <w:color w:val="auto"/>
          <w:sz w:val="24"/>
        </w:rPr>
        <w:t>按下式计算：</w:t>
      </w:r>
    </w:p>
    <w:p>
      <w:pPr>
        <w:spacing w:line="360" w:lineRule="auto"/>
        <w:jc w:val="center"/>
        <w:rPr>
          <w:rFonts w:hint="eastAsia" w:hAnsi="Cambria Math"/>
          <w:color w:val="auto"/>
          <w:sz w:val="24"/>
        </w:rPr>
      </w:pPr>
      <w:r>
        <w:rPr>
          <w:rFonts w:hint="eastAsia"/>
          <w:color w:val="auto"/>
          <w:sz w:val="24"/>
        </w:rPr>
        <w:t>σ=</w:t>
      </w:r>
      <w:r>
        <w:rPr>
          <w:rFonts w:hint="eastAsia" w:hAnsi="Cambria Math"/>
          <w:color w:val="auto"/>
          <w:sz w:val="24"/>
        </w:rPr>
        <w:t xml:space="preserve">    </w:t>
      </w:r>
      <m:oMath>
        <m:rad>
          <m:radPr>
            <m:degHide m:val="1"/>
            <m:ctrlPr>
              <w:rPr>
                <w:rFonts w:ascii="Cambria Math" w:hAnsi="Cambria Math"/>
                <w:i/>
                <w:color w:val="auto"/>
                <w:sz w:val="32"/>
                <w:szCs w:val="32"/>
              </w:rPr>
            </m:ctrlPr>
          </m:radPr>
          <m:deg>
            <m:ctrlPr>
              <w:rPr>
                <w:rFonts w:ascii="Cambria Math" w:hAnsi="Cambria Math"/>
                <w:i/>
                <w:color w:val="auto"/>
                <w:sz w:val="32"/>
                <w:szCs w:val="32"/>
              </w:rPr>
            </m:ctrlPr>
          </m:deg>
          <m:e>
            <m:f>
              <m:fPr>
                <m:ctrlPr>
                  <w:rPr>
                    <w:rFonts w:ascii="Cambria Math" w:hAnsi="Cambria Math"/>
                    <w:i/>
                    <w:color w:val="auto"/>
                    <w:sz w:val="32"/>
                    <w:szCs w:val="32"/>
                  </w:rPr>
                </m:ctrlPr>
              </m:fPr>
              <m:num>
                <m:nary>
                  <m:naryPr>
                    <m:chr m:val="∑"/>
                    <m:limLoc m:val="subSup"/>
                    <m:ctrlPr>
                      <w:rPr>
                        <w:rFonts w:ascii="Cambria Math" w:hAnsi="Cambria Math"/>
                        <w:i/>
                        <w:color w:val="auto"/>
                        <w:sz w:val="32"/>
                        <w:szCs w:val="32"/>
                      </w:rPr>
                    </m:ctrlPr>
                  </m:naryPr>
                  <m:sub>
                    <m:r>
                      <m:rPr/>
                      <w:rPr>
                        <w:rFonts w:hint="default" w:ascii="Cambria Math" w:hAnsi="Cambria Math"/>
                        <w:color w:val="auto"/>
                        <w:sz w:val="32"/>
                        <w:szCs w:val="32"/>
                        <w:lang w:val="en-US" w:eastAsia="zh-CN"/>
                      </w:rPr>
                      <m:t>i=1</m:t>
                    </m:r>
                    <m:ctrlPr>
                      <w:rPr>
                        <w:rFonts w:ascii="Cambria Math" w:hAnsi="Cambria Math"/>
                        <w:i/>
                        <w:color w:val="auto"/>
                        <w:sz w:val="32"/>
                        <w:szCs w:val="32"/>
                      </w:rPr>
                    </m:ctrlPr>
                  </m:sub>
                  <m:sup>
                    <m:r>
                      <m:rPr/>
                      <w:rPr>
                        <w:rFonts w:hint="default" w:ascii="Cambria Math" w:hAnsi="Cambria Math"/>
                        <w:color w:val="auto"/>
                        <w:sz w:val="32"/>
                        <w:szCs w:val="32"/>
                        <w:lang w:val="en-US" w:eastAsia="zh-CN"/>
                      </w:rPr>
                      <m:t>n</m:t>
                    </m:r>
                    <m:ctrlPr>
                      <w:rPr>
                        <w:rFonts w:ascii="Cambria Math" w:hAnsi="Cambria Math"/>
                        <w:i/>
                        <w:color w:val="auto"/>
                        <w:sz w:val="32"/>
                        <w:szCs w:val="32"/>
                      </w:rPr>
                    </m:ctrlPr>
                  </m:sup>
                  <m:e>
                    <m:eqArr>
                      <m:eqArrPr>
                        <m:ctrlPr>
                          <w:rPr>
                            <w:rFonts w:ascii="Cambria Math" w:hAnsi="Cambria Math"/>
                            <w:i/>
                            <w:color w:val="auto"/>
                            <w:sz w:val="32"/>
                            <w:szCs w:val="32"/>
                          </w:rPr>
                        </m:ctrlPr>
                      </m:eqArrPr>
                      <m:e>
                        <m:sSubSup>
                          <m:sSubSupPr>
                            <m:ctrlPr>
                              <w:rPr>
                                <w:rFonts w:ascii="Cambria Math" w:hAnsi="Cambria Math"/>
                                <w:i/>
                                <w:color w:val="auto"/>
                                <w:sz w:val="32"/>
                                <w:szCs w:val="32"/>
                              </w:rPr>
                            </m:ctrlPr>
                          </m:sSubSupPr>
                          <m:e>
                            <m:r>
                              <m:rPr/>
                              <w:rPr>
                                <w:rFonts w:ascii="Cambria Math" w:hAnsi="Cambria Math"/>
                                <w:color w:val="auto"/>
                                <w:sz w:val="32"/>
                                <w:szCs w:val="32"/>
                              </w:rPr>
                              <m:t>f</m:t>
                            </m:r>
                            <m:ctrlPr>
                              <w:rPr>
                                <w:rFonts w:ascii="Cambria Math" w:hAnsi="Cambria Math"/>
                                <w:i/>
                                <w:color w:val="auto"/>
                                <w:sz w:val="32"/>
                                <w:szCs w:val="32"/>
                              </w:rPr>
                            </m:ctrlPr>
                          </m:e>
                          <m:sub>
                            <m:r>
                              <m:rPr/>
                              <w:rPr>
                                <w:rFonts w:ascii="Cambria Math" w:hAnsi="Cambria Math"/>
                                <w:color w:val="auto"/>
                                <w:sz w:val="32"/>
                                <w:szCs w:val="32"/>
                              </w:rPr>
                              <m:t>cu，i</m:t>
                            </m:r>
                            <m:ctrlPr>
                              <w:rPr>
                                <w:rFonts w:ascii="Cambria Math" w:hAnsi="Cambria Math"/>
                                <w:i/>
                                <w:color w:val="auto"/>
                                <w:sz w:val="32"/>
                                <w:szCs w:val="32"/>
                              </w:rPr>
                            </m:ctrlPr>
                          </m:sub>
                          <m:sup>
                            <m:r>
                              <m:rPr/>
                              <w:rPr>
                                <w:rFonts w:ascii="Cambria Math" w:hAnsi="Cambria Math"/>
                                <w:color w:val="auto"/>
                                <w:sz w:val="32"/>
                                <w:szCs w:val="32"/>
                              </w:rPr>
                              <m:t>2</m:t>
                            </m:r>
                            <m:ctrlPr>
                              <w:rPr>
                                <w:rFonts w:ascii="Cambria Math" w:hAnsi="Cambria Math"/>
                                <w:i/>
                                <w:color w:val="auto"/>
                                <w:sz w:val="32"/>
                                <w:szCs w:val="32"/>
                              </w:rPr>
                            </m:ctrlPr>
                          </m:sup>
                        </m:sSubSup>
                        <m:r>
                          <m:rPr/>
                          <w:rPr>
                            <w:rFonts w:ascii="Cambria Math" w:hAnsi="Cambria Math"/>
                            <w:color w:val="auto"/>
                            <w:sz w:val="32"/>
                            <w:szCs w:val="32"/>
                          </w:rPr>
                          <m:t>−n</m:t>
                        </m:r>
                        <m:sSubSup>
                          <m:sSubSupPr>
                            <m:ctrlPr>
                              <w:rPr>
                                <w:rFonts w:ascii="Cambria Math" w:hAnsi="Cambria Math"/>
                                <w:i/>
                                <w:color w:val="auto"/>
                                <w:sz w:val="32"/>
                                <w:szCs w:val="32"/>
                              </w:rPr>
                            </m:ctrlPr>
                          </m:sSubSupPr>
                          <m:e>
                            <m:r>
                              <m:rPr/>
                              <w:rPr>
                                <w:rFonts w:ascii="Cambria Math" w:hAnsi="Cambria Math"/>
                                <w:color w:val="auto"/>
                                <w:sz w:val="32"/>
                                <w:szCs w:val="32"/>
                              </w:rPr>
                              <m:t>m</m:t>
                            </m:r>
                            <m:ctrlPr>
                              <w:rPr>
                                <w:rFonts w:ascii="Cambria Math" w:hAnsi="Cambria Math"/>
                                <w:i/>
                                <w:color w:val="auto"/>
                                <w:sz w:val="32"/>
                                <w:szCs w:val="32"/>
                              </w:rPr>
                            </m:ctrlPr>
                          </m:e>
                          <m:sub>
                            <m:sSub>
                              <m:sSubPr>
                                <m:ctrlPr>
                                  <w:rPr>
                                    <w:rFonts w:ascii="Cambria Math" w:hAnsi="Cambria Math"/>
                                    <w:i/>
                                    <w:color w:val="auto"/>
                                    <w:sz w:val="32"/>
                                    <w:szCs w:val="32"/>
                                  </w:rPr>
                                </m:ctrlPr>
                              </m:sSubPr>
                              <m:e>
                                <m:r>
                                  <m:rPr/>
                                  <w:rPr>
                                    <w:rFonts w:ascii="Cambria Math" w:hAnsi="Cambria Math"/>
                                    <w:color w:val="auto"/>
                                    <w:sz w:val="32"/>
                                    <w:szCs w:val="32"/>
                                  </w:rPr>
                                  <m:t>f</m:t>
                                </m:r>
                                <m:ctrlPr>
                                  <w:rPr>
                                    <w:rFonts w:ascii="Cambria Math" w:hAnsi="Cambria Math"/>
                                    <w:i/>
                                    <w:color w:val="auto"/>
                                    <w:sz w:val="32"/>
                                    <w:szCs w:val="32"/>
                                  </w:rPr>
                                </m:ctrlPr>
                              </m:e>
                              <m:sub>
                                <m:r>
                                  <m:rPr/>
                                  <w:rPr>
                                    <w:rFonts w:ascii="Cambria Math" w:hAnsi="Cambria Math"/>
                                    <w:color w:val="auto"/>
                                    <w:sz w:val="32"/>
                                    <w:szCs w:val="32"/>
                                  </w:rPr>
                                  <m:t>cu</m:t>
                                </m:r>
                                <m:ctrlPr>
                                  <w:rPr>
                                    <w:rFonts w:ascii="Cambria Math" w:hAnsi="Cambria Math"/>
                                    <w:i/>
                                    <w:color w:val="auto"/>
                                    <w:sz w:val="32"/>
                                    <w:szCs w:val="32"/>
                                  </w:rPr>
                                </m:ctrlPr>
                              </m:sub>
                            </m:sSub>
                            <m:ctrlPr>
                              <w:rPr>
                                <w:rFonts w:ascii="Cambria Math" w:hAnsi="Cambria Math"/>
                                <w:i/>
                                <w:color w:val="auto"/>
                                <w:sz w:val="32"/>
                                <w:szCs w:val="32"/>
                              </w:rPr>
                            </m:ctrlPr>
                          </m:sub>
                          <m:sup>
                            <m:r>
                              <m:rPr/>
                              <w:rPr>
                                <w:rFonts w:ascii="Cambria Math" w:hAnsi="Cambria Math"/>
                                <w:color w:val="auto"/>
                                <w:sz w:val="32"/>
                                <w:szCs w:val="32"/>
                              </w:rPr>
                              <m:t>2</m:t>
                            </m:r>
                            <m:ctrlPr>
                              <w:rPr>
                                <w:rFonts w:ascii="Cambria Math" w:hAnsi="Cambria Math"/>
                                <w:i/>
                                <w:color w:val="auto"/>
                                <w:sz w:val="32"/>
                                <w:szCs w:val="32"/>
                              </w:rPr>
                            </m:ctrlPr>
                          </m:sup>
                        </m:sSubSup>
                        <m:ctrlPr>
                          <w:rPr>
                            <w:rFonts w:ascii="Cambria Math" w:hAnsi="Cambria Math"/>
                            <w:i/>
                            <w:color w:val="auto"/>
                            <w:sz w:val="32"/>
                            <w:szCs w:val="32"/>
                          </w:rPr>
                        </m:ctrlPr>
                      </m:e>
                    </m:eqArr>
                    <m:ctrlPr>
                      <w:rPr>
                        <w:rFonts w:ascii="Cambria Math" w:hAnsi="Cambria Math"/>
                        <w:i/>
                        <w:color w:val="auto"/>
                        <w:sz w:val="32"/>
                        <w:szCs w:val="32"/>
                      </w:rPr>
                    </m:ctrlPr>
                  </m:e>
                </m:nary>
                <m:ctrlPr>
                  <w:rPr>
                    <w:rFonts w:ascii="Cambria Math" w:hAnsi="Cambria Math"/>
                    <w:i/>
                    <w:color w:val="auto"/>
                    <w:sz w:val="32"/>
                    <w:szCs w:val="32"/>
                  </w:rPr>
                </m:ctrlPr>
              </m:num>
              <m:den>
                <m:r>
                  <m:rPr/>
                  <w:rPr>
                    <w:rFonts w:ascii="Cambria Math" w:hAnsi="Cambria Math"/>
                    <w:color w:val="auto"/>
                    <w:sz w:val="32"/>
                    <w:szCs w:val="32"/>
                  </w:rPr>
                  <m:t>n−1</m:t>
                </m:r>
                <m:ctrlPr>
                  <w:rPr>
                    <w:rFonts w:ascii="Cambria Math" w:hAnsi="Cambria Math"/>
                    <w:i/>
                    <w:color w:val="auto"/>
                    <w:sz w:val="32"/>
                    <w:szCs w:val="32"/>
                  </w:rPr>
                </m:ctrlPr>
              </m:den>
            </m:f>
            <m:ctrlPr>
              <w:rPr>
                <w:rFonts w:ascii="Cambria Math" w:hAnsi="Cambria Math"/>
                <w:i/>
                <w:color w:val="auto"/>
                <w:sz w:val="32"/>
                <w:szCs w:val="32"/>
              </w:rPr>
            </m:ctrlPr>
          </m:e>
        </m:rad>
      </m:oMath>
      <w:r>
        <w:rPr>
          <w:rFonts w:hint="eastAsia" w:hAnsi="Cambria Math"/>
          <w:color w:val="auto"/>
          <w:sz w:val="24"/>
        </w:rPr>
        <w:t xml:space="preserve">        （6.2.2）</w:t>
      </w:r>
    </w:p>
    <w:p>
      <w:pPr>
        <w:spacing w:line="360" w:lineRule="auto"/>
        <w:ind w:firstLine="636" w:firstLineChars="200"/>
        <w:rPr>
          <w:color w:val="auto"/>
          <w:sz w:val="24"/>
        </w:rPr>
      </w:pPr>
      <w:r>
        <w:rPr>
          <w:rFonts w:hint="eastAsia"/>
          <w:color w:val="auto"/>
          <w:spacing w:val="32"/>
          <w:w w:val="106"/>
          <w:sz w:val="24"/>
        </w:rPr>
        <w:t>式中</w:t>
      </w:r>
      <w:r>
        <w:rPr>
          <w:color w:val="auto"/>
          <w:spacing w:val="32"/>
          <w:w w:val="106"/>
          <w:sz w:val="24"/>
        </w:rPr>
        <w:t>：</w:t>
      </w:r>
      <w:r>
        <w:rPr>
          <w:rFonts w:ascii="Arial" w:hAnsi="Arial" w:cs="Arial"/>
          <w:color w:val="auto"/>
          <w:sz w:val="24"/>
          <w:shd w:val="clear" w:color="auto" w:fill="FFFFFF"/>
        </w:rPr>
        <w:t>ƒ</w:t>
      </w:r>
      <w:r>
        <w:rPr>
          <w:color w:val="auto"/>
          <w:sz w:val="24"/>
          <w:vertAlign w:val="subscript"/>
        </w:rPr>
        <w:t>cu</w:t>
      </w:r>
      <w:r>
        <w:rPr>
          <w:rFonts w:hint="eastAsia"/>
          <w:color w:val="auto"/>
          <w:sz w:val="24"/>
          <w:vertAlign w:val="subscript"/>
        </w:rPr>
        <w:t>，i</w:t>
      </w:r>
      <w:r>
        <w:rPr>
          <w:rFonts w:hint="eastAsia" w:hAnsi="Cambria Math"/>
          <w:color w:val="auto"/>
          <w:spacing w:val="-2"/>
          <w:w w:val="48"/>
          <w:sz w:val="24"/>
        </w:rPr>
        <w:t xml:space="preserve">  </w:t>
      </w:r>
      <w:r>
        <w:rPr>
          <w:rFonts w:hint="eastAsia"/>
          <w:color w:val="auto"/>
          <w:sz w:val="24"/>
        </w:rPr>
        <w:t>——第i组的试件强度( MPa) ;</w:t>
      </w:r>
    </w:p>
    <w:p>
      <w:pPr>
        <w:spacing w:line="360" w:lineRule="auto"/>
        <w:ind w:firstLine="849" w:firstLineChars="354"/>
        <w:rPr>
          <w:color w:val="auto"/>
          <w:sz w:val="24"/>
        </w:rPr>
      </w:pPr>
      <w:r>
        <w:rPr>
          <w:rFonts w:hint="eastAsia"/>
          <w:color w:val="auto"/>
          <w:sz w:val="24"/>
        </w:rPr>
        <w:t>m</w:t>
      </w:r>
      <w:r>
        <w:rPr>
          <w:rFonts w:hint="eastAsia"/>
          <w:color w:val="auto"/>
          <w:sz w:val="24"/>
          <w:vertAlign w:val="subscript"/>
        </w:rPr>
        <w:t xml:space="preserve">fcu </w:t>
      </w:r>
      <w:r>
        <w:rPr>
          <w:rFonts w:hint="eastAsia"/>
          <w:color w:val="auto"/>
          <w:sz w:val="24"/>
        </w:rPr>
        <w:t>——</w:t>
      </w:r>
      <w:r>
        <w:rPr>
          <w:color w:val="auto"/>
          <w:sz w:val="24"/>
        </w:rPr>
        <w:t>n 组试件的强度平均值( MPa) ;</w:t>
      </w:r>
    </w:p>
    <w:p>
      <w:pPr>
        <w:spacing w:line="360" w:lineRule="auto"/>
        <w:ind w:firstLine="849" w:firstLineChars="354"/>
        <w:rPr>
          <w:color w:val="auto"/>
          <w:w w:val="105"/>
          <w:sz w:val="24"/>
        </w:rPr>
      </w:pPr>
      <w:r>
        <w:rPr>
          <w:rFonts w:hint="eastAsia"/>
          <w:color w:val="auto"/>
          <w:sz w:val="24"/>
        </w:rPr>
        <w:t>n——</w:t>
      </w:r>
      <w:r>
        <w:rPr>
          <w:color w:val="auto"/>
          <w:spacing w:val="24"/>
          <w:w w:val="105"/>
          <w:sz w:val="24"/>
        </w:rPr>
        <w:t>试件组数</w:t>
      </w:r>
      <w:r>
        <w:rPr>
          <w:color w:val="auto"/>
          <w:w w:val="105"/>
          <w:sz w:val="24"/>
        </w:rPr>
        <w:t>。</w:t>
      </w:r>
    </w:p>
    <w:p>
      <w:pPr>
        <w:spacing w:line="360" w:lineRule="auto"/>
        <w:ind w:firstLine="504" w:firstLineChars="200"/>
        <w:rPr>
          <w:color w:val="auto"/>
          <w:w w:val="105"/>
          <w:sz w:val="24"/>
        </w:rPr>
      </w:pPr>
      <w:r>
        <w:rPr>
          <w:color w:val="auto"/>
          <w:w w:val="105"/>
          <w:sz w:val="24"/>
        </w:rPr>
        <w:t>对</w:t>
      </w:r>
      <w:r>
        <w:rPr>
          <w:rFonts w:hint="eastAsia"/>
          <w:color w:val="auto"/>
          <w:w w:val="105"/>
          <w:sz w:val="24"/>
        </w:rPr>
        <w:t>于</w:t>
      </w:r>
      <w:r>
        <w:rPr>
          <w:color w:val="auto"/>
          <w:w w:val="105"/>
          <w:sz w:val="24"/>
        </w:rPr>
        <w:t>强度等级不大于 C30 的特细砂混凝土</w:t>
      </w:r>
      <w:r>
        <w:rPr>
          <w:rFonts w:hint="eastAsia"/>
          <w:color w:val="auto"/>
          <w:w w:val="105"/>
          <w:sz w:val="24"/>
        </w:rPr>
        <w:t>，</w:t>
      </w:r>
      <w:r>
        <w:rPr>
          <w:color w:val="auto"/>
          <w:w w:val="105"/>
          <w:sz w:val="24"/>
        </w:rPr>
        <w:t>当</w:t>
      </w:r>
      <w:r>
        <w:rPr>
          <w:rFonts w:hint="eastAsia"/>
          <w:color w:val="auto"/>
          <w:sz w:val="24"/>
        </w:rPr>
        <w:t>混凝土强度标准差计算值不小于3.0</w:t>
      </w:r>
      <w:r>
        <w:rPr>
          <w:color w:val="auto"/>
          <w:w w:val="105"/>
          <w:sz w:val="24"/>
        </w:rPr>
        <w:t xml:space="preserve"> MPa时，应按式</w:t>
      </w:r>
      <w:r>
        <w:rPr>
          <w:rFonts w:hint="eastAsia" w:hAnsi="Cambria Math"/>
          <w:color w:val="auto"/>
          <w:sz w:val="24"/>
        </w:rPr>
        <w:t>（6.2.2）</w:t>
      </w:r>
      <w:r>
        <w:rPr>
          <w:color w:val="auto"/>
          <w:w w:val="105"/>
          <w:sz w:val="24"/>
        </w:rPr>
        <w:t>计算结果取值；当混凝土强度标准差计算值小于</w:t>
      </w:r>
      <w:r>
        <w:rPr>
          <w:rFonts w:hint="eastAsia"/>
          <w:color w:val="auto"/>
          <w:w w:val="105"/>
          <w:sz w:val="24"/>
        </w:rPr>
        <w:t>3.0</w:t>
      </w:r>
      <w:r>
        <w:rPr>
          <w:color w:val="auto"/>
          <w:w w:val="105"/>
          <w:sz w:val="24"/>
        </w:rPr>
        <w:t>MPa 时，</w:t>
      </w:r>
      <w:r>
        <w:rPr>
          <w:rFonts w:hint="eastAsia"/>
          <w:color w:val="auto"/>
          <w:w w:val="105"/>
          <w:sz w:val="24"/>
        </w:rPr>
        <w:t>应</w:t>
      </w:r>
      <w:r>
        <w:rPr>
          <w:color w:val="auto"/>
          <w:w w:val="105"/>
          <w:sz w:val="24"/>
        </w:rPr>
        <w:t>取</w:t>
      </w:r>
      <w:r>
        <w:rPr>
          <w:rFonts w:hint="eastAsia"/>
          <w:color w:val="auto"/>
          <w:w w:val="105"/>
          <w:sz w:val="24"/>
        </w:rPr>
        <w:t>3.0</w:t>
      </w:r>
      <w:r>
        <w:rPr>
          <w:color w:val="auto"/>
          <w:w w:val="105"/>
          <w:sz w:val="24"/>
        </w:rPr>
        <w:t>MPa。</w:t>
      </w:r>
    </w:p>
    <w:p>
      <w:pPr>
        <w:spacing w:line="360" w:lineRule="auto"/>
        <w:ind w:firstLine="504" w:firstLineChars="200"/>
        <w:rPr>
          <w:color w:val="auto"/>
          <w:w w:val="105"/>
          <w:sz w:val="24"/>
        </w:rPr>
      </w:pPr>
      <w:r>
        <w:rPr>
          <w:color w:val="auto"/>
          <w:w w:val="105"/>
          <w:sz w:val="24"/>
        </w:rPr>
        <w:t>对于强度等级大</w:t>
      </w:r>
      <w:r>
        <w:rPr>
          <w:rFonts w:hint="eastAsia"/>
          <w:color w:val="auto"/>
          <w:w w:val="105"/>
          <w:sz w:val="24"/>
        </w:rPr>
        <w:t>于</w:t>
      </w:r>
      <w:r>
        <w:rPr>
          <w:color w:val="auto"/>
          <w:w w:val="105"/>
          <w:sz w:val="24"/>
        </w:rPr>
        <w:t>C3</w:t>
      </w:r>
      <w:r>
        <w:rPr>
          <w:rFonts w:hint="eastAsia"/>
          <w:color w:val="auto"/>
          <w:w w:val="105"/>
          <w:sz w:val="24"/>
        </w:rPr>
        <w:t>0且小于等于C50</w:t>
      </w:r>
      <w:r>
        <w:rPr>
          <w:color w:val="auto"/>
          <w:w w:val="105"/>
          <w:sz w:val="24"/>
        </w:rPr>
        <w:t>的特细砂混凝土，当</w:t>
      </w:r>
      <w:r>
        <w:rPr>
          <w:rFonts w:hint="eastAsia"/>
          <w:color w:val="auto"/>
          <w:sz w:val="24"/>
        </w:rPr>
        <w:t>混凝土强度标准差</w:t>
      </w:r>
      <w:r>
        <w:rPr>
          <w:color w:val="auto"/>
          <w:w w:val="105"/>
          <w:sz w:val="24"/>
        </w:rPr>
        <w:t>计算值不小于</w:t>
      </w:r>
      <w:r>
        <w:rPr>
          <w:rFonts w:hint="eastAsia"/>
          <w:color w:val="auto"/>
          <w:w w:val="105"/>
          <w:sz w:val="24"/>
        </w:rPr>
        <w:t>4.0</w:t>
      </w:r>
      <w:r>
        <w:rPr>
          <w:color w:val="auto"/>
          <w:w w:val="105"/>
          <w:sz w:val="24"/>
        </w:rPr>
        <w:t>MPa时，应按式</w:t>
      </w:r>
      <w:r>
        <w:rPr>
          <w:rFonts w:hint="eastAsia" w:hAnsi="Cambria Math"/>
          <w:color w:val="auto"/>
          <w:sz w:val="24"/>
        </w:rPr>
        <w:t>（6.2.2）</w:t>
      </w:r>
      <w:r>
        <w:rPr>
          <w:color w:val="auto"/>
          <w:w w:val="105"/>
          <w:sz w:val="24"/>
        </w:rPr>
        <w:t>计算结果取值；当混凝土强度标准差计算值小于</w:t>
      </w:r>
      <w:r>
        <w:rPr>
          <w:rFonts w:hint="eastAsia"/>
          <w:color w:val="auto"/>
          <w:w w:val="105"/>
          <w:sz w:val="24"/>
        </w:rPr>
        <w:t>4.0</w:t>
      </w:r>
      <w:r>
        <w:rPr>
          <w:color w:val="auto"/>
          <w:w w:val="105"/>
          <w:sz w:val="24"/>
        </w:rPr>
        <w:t>MPa 时，</w:t>
      </w:r>
      <w:r>
        <w:rPr>
          <w:rFonts w:hint="eastAsia"/>
          <w:color w:val="auto"/>
          <w:w w:val="105"/>
          <w:sz w:val="24"/>
        </w:rPr>
        <w:t>应</w:t>
      </w:r>
      <w:r>
        <w:rPr>
          <w:color w:val="auto"/>
          <w:w w:val="105"/>
          <w:sz w:val="24"/>
        </w:rPr>
        <w:t>取</w:t>
      </w:r>
      <w:r>
        <w:rPr>
          <w:rFonts w:hint="eastAsia"/>
          <w:color w:val="auto"/>
          <w:w w:val="105"/>
          <w:sz w:val="24"/>
        </w:rPr>
        <w:t>4.0</w:t>
      </w:r>
      <w:r>
        <w:rPr>
          <w:color w:val="auto"/>
          <w:w w:val="105"/>
          <w:sz w:val="24"/>
        </w:rPr>
        <w:t>MPa。</w:t>
      </w:r>
    </w:p>
    <w:p>
      <w:pPr>
        <w:spacing w:line="360" w:lineRule="auto"/>
        <w:ind w:firstLine="486" w:firstLineChars="192"/>
        <w:rPr>
          <w:color w:val="auto"/>
          <w:w w:val="105"/>
          <w:sz w:val="24"/>
        </w:rPr>
      </w:pPr>
      <w:r>
        <w:rPr>
          <w:rFonts w:hint="eastAsia"/>
          <w:b/>
          <w:bCs/>
          <w:color w:val="auto"/>
          <w:w w:val="105"/>
          <w:sz w:val="24"/>
        </w:rPr>
        <w:t>2</w:t>
      </w:r>
      <w:r>
        <w:rPr>
          <w:rFonts w:hint="eastAsia"/>
          <w:color w:val="auto"/>
          <w:w w:val="105"/>
          <w:sz w:val="24"/>
        </w:rPr>
        <w:t xml:space="preserve"> 当没有近期的同一品种、同一强度等级特细砂混凝土强度资料时，其强度标准差</w:t>
      </w:r>
      <w:r>
        <w:rPr>
          <w:rFonts w:hint="eastAsia"/>
          <w:color w:val="auto"/>
          <w:sz w:val="24"/>
        </w:rPr>
        <w:t>σ</w:t>
      </w:r>
      <w:r>
        <w:rPr>
          <w:rFonts w:hint="eastAsia"/>
          <w:color w:val="auto"/>
          <w:w w:val="105"/>
          <w:sz w:val="24"/>
        </w:rPr>
        <w:t>可根据下表6.2.2取值。</w:t>
      </w:r>
    </w:p>
    <w:p>
      <w:pPr>
        <w:spacing w:line="360" w:lineRule="auto"/>
        <w:jc w:val="center"/>
        <w:rPr>
          <w:b/>
          <w:bCs/>
          <w:color w:val="auto"/>
          <w:sz w:val="22"/>
          <w:szCs w:val="22"/>
        </w:rPr>
      </w:pPr>
      <w:r>
        <w:rPr>
          <w:rFonts w:hint="eastAsia"/>
          <w:b/>
          <w:bCs/>
          <w:color w:val="auto"/>
          <w:w w:val="105"/>
          <w:sz w:val="22"/>
          <w:szCs w:val="22"/>
        </w:rPr>
        <w:t>表6.2.2  标准差</w:t>
      </w:r>
      <w:r>
        <w:rPr>
          <w:rFonts w:hint="eastAsia"/>
          <w:color w:val="auto"/>
          <w:sz w:val="22"/>
          <w:szCs w:val="22"/>
        </w:rPr>
        <w:t>σ</w:t>
      </w:r>
      <w:r>
        <w:rPr>
          <w:rFonts w:hint="eastAsia"/>
          <w:b/>
          <w:bCs/>
          <w:color w:val="auto"/>
          <w:sz w:val="22"/>
          <w:szCs w:val="22"/>
        </w:rPr>
        <w:t>值（</w:t>
      </w:r>
      <w:r>
        <w:rPr>
          <w:b/>
          <w:bCs/>
          <w:color w:val="auto"/>
          <w:w w:val="105"/>
          <w:sz w:val="22"/>
          <w:szCs w:val="22"/>
        </w:rPr>
        <w:t>MPa</w:t>
      </w:r>
      <w:r>
        <w:rPr>
          <w:rFonts w:hint="eastAsia"/>
          <w:b/>
          <w:bCs/>
          <w:color w:val="auto"/>
          <w:sz w:val="22"/>
          <w:szCs w:val="22"/>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699" w:type="dxa"/>
          </w:tcPr>
          <w:p>
            <w:pPr>
              <w:spacing w:line="360" w:lineRule="auto"/>
              <w:jc w:val="center"/>
              <w:rPr>
                <w:color w:val="auto"/>
                <w:sz w:val="22"/>
                <w:szCs w:val="22"/>
              </w:rPr>
            </w:pPr>
            <w:r>
              <w:rPr>
                <w:rFonts w:hint="eastAsia"/>
                <w:color w:val="auto"/>
                <w:sz w:val="22"/>
                <w:szCs w:val="22"/>
              </w:rPr>
              <w:t>混凝土强度标准值</w:t>
            </w:r>
          </w:p>
        </w:tc>
        <w:tc>
          <w:tcPr>
            <w:tcW w:w="2700" w:type="dxa"/>
          </w:tcPr>
          <w:p>
            <w:pPr>
              <w:spacing w:line="360" w:lineRule="auto"/>
              <w:jc w:val="center"/>
              <w:rPr>
                <w:color w:val="auto"/>
                <w:sz w:val="22"/>
                <w:szCs w:val="22"/>
              </w:rPr>
            </w:pPr>
            <w:r>
              <w:rPr>
                <w:rFonts w:hint="eastAsia"/>
                <w:color w:val="auto"/>
                <w:sz w:val="24"/>
              </w:rPr>
              <w:t>≤</w:t>
            </w:r>
            <w:r>
              <w:rPr>
                <w:rFonts w:hint="eastAsia"/>
                <w:color w:val="auto"/>
                <w:sz w:val="22"/>
                <w:szCs w:val="22"/>
              </w:rPr>
              <w:t>C20</w:t>
            </w:r>
          </w:p>
        </w:tc>
        <w:tc>
          <w:tcPr>
            <w:tcW w:w="2700" w:type="dxa"/>
          </w:tcPr>
          <w:p>
            <w:pPr>
              <w:spacing w:line="360" w:lineRule="auto"/>
              <w:jc w:val="center"/>
              <w:rPr>
                <w:color w:val="auto"/>
                <w:sz w:val="22"/>
                <w:szCs w:val="22"/>
              </w:rPr>
            </w:pPr>
            <w:r>
              <w:rPr>
                <w:rFonts w:hint="eastAsia"/>
                <w:color w:val="auto"/>
                <w:sz w:val="22"/>
                <w:szCs w:val="22"/>
              </w:rPr>
              <w:t>C25~C50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99" w:type="dxa"/>
          </w:tcPr>
          <w:p>
            <w:pPr>
              <w:spacing w:line="360" w:lineRule="auto"/>
              <w:jc w:val="center"/>
              <w:rPr>
                <w:color w:val="auto"/>
                <w:sz w:val="22"/>
                <w:szCs w:val="22"/>
              </w:rPr>
            </w:pPr>
            <w:r>
              <w:rPr>
                <w:rFonts w:hint="eastAsia"/>
                <w:color w:val="auto"/>
                <w:sz w:val="22"/>
                <w:szCs w:val="22"/>
              </w:rPr>
              <w:t>σ</w:t>
            </w:r>
          </w:p>
        </w:tc>
        <w:tc>
          <w:tcPr>
            <w:tcW w:w="2700" w:type="dxa"/>
          </w:tcPr>
          <w:p>
            <w:pPr>
              <w:spacing w:line="360" w:lineRule="auto"/>
              <w:jc w:val="center"/>
              <w:rPr>
                <w:color w:val="auto"/>
                <w:sz w:val="22"/>
                <w:szCs w:val="22"/>
              </w:rPr>
            </w:pPr>
            <w:r>
              <w:rPr>
                <w:rFonts w:hint="eastAsia"/>
                <w:color w:val="auto"/>
                <w:sz w:val="22"/>
                <w:szCs w:val="22"/>
              </w:rPr>
              <w:t>4.0</w:t>
            </w:r>
          </w:p>
        </w:tc>
        <w:tc>
          <w:tcPr>
            <w:tcW w:w="2700" w:type="dxa"/>
          </w:tcPr>
          <w:p>
            <w:pPr>
              <w:spacing w:line="360" w:lineRule="auto"/>
              <w:jc w:val="center"/>
              <w:rPr>
                <w:color w:val="auto"/>
                <w:sz w:val="22"/>
                <w:szCs w:val="22"/>
              </w:rPr>
            </w:pPr>
            <w:r>
              <w:rPr>
                <w:rFonts w:hint="eastAsia"/>
                <w:color w:val="auto"/>
                <w:sz w:val="22"/>
                <w:szCs w:val="22"/>
              </w:rPr>
              <w:t>5.0</w:t>
            </w:r>
          </w:p>
        </w:tc>
      </w:tr>
    </w:tbl>
    <w:p>
      <w:pPr>
        <w:spacing w:before="156" w:beforeLines="50" w:line="360" w:lineRule="auto"/>
        <w:rPr>
          <w:color w:val="auto"/>
          <w:sz w:val="24"/>
        </w:rPr>
      </w:pPr>
      <w:r>
        <w:rPr>
          <w:rFonts w:hint="eastAsia"/>
          <w:b/>
          <w:color w:val="auto"/>
          <w:sz w:val="24"/>
        </w:rPr>
        <w:t xml:space="preserve">6.2.3  </w:t>
      </w:r>
      <w:r>
        <w:rPr>
          <w:rFonts w:hint="eastAsia"/>
          <w:color w:val="auto"/>
          <w:sz w:val="24"/>
        </w:rPr>
        <w:t>水胶比：</w:t>
      </w:r>
    </w:p>
    <w:p>
      <w:pPr>
        <w:spacing w:line="360" w:lineRule="auto"/>
        <w:rPr>
          <w:color w:val="auto"/>
          <w:sz w:val="24"/>
        </w:rPr>
      </w:pPr>
      <w:r>
        <w:rPr>
          <w:rFonts w:hint="eastAsia"/>
          <w:color w:val="auto"/>
          <w:sz w:val="24"/>
        </w:rPr>
        <w:t xml:space="preserve">  水胶比宜按式</w:t>
      </w:r>
      <w:r>
        <w:rPr>
          <w:color w:val="auto"/>
          <w:sz w:val="24"/>
        </w:rPr>
        <w:t>6.2.3-1</w:t>
      </w:r>
      <w:r>
        <w:rPr>
          <w:rFonts w:hint="eastAsia"/>
          <w:color w:val="auto"/>
          <w:sz w:val="24"/>
        </w:rPr>
        <w:t>计算：</w:t>
      </w:r>
    </w:p>
    <w:p>
      <w:pPr>
        <w:spacing w:line="360" w:lineRule="auto"/>
        <w:ind w:right="442" w:firstLine="2880" w:firstLineChars="1200"/>
        <w:rPr>
          <w:rFonts w:ascii="微软雅黑" w:hAnsi="微软雅黑" w:cs="宋体"/>
          <w:color w:val="auto"/>
          <w:sz w:val="24"/>
        </w:rPr>
      </w:pPr>
      <w:r>
        <w:rPr>
          <w:rFonts w:hint="default" w:ascii="Times New Roman" w:hAnsi="Times New Roman" w:cs="Times New Roman"/>
          <w:color w:val="auto"/>
          <w:sz w:val="24"/>
          <w:szCs w:val="24"/>
        </w:rPr>
        <w:t>W/B</w:t>
      </w:r>
      <w:r>
        <w:rPr>
          <w:rFonts w:ascii="微软雅黑" w:hAnsi="微软雅黑" w:cs="宋体"/>
          <w:color w:val="auto"/>
          <w:sz w:val="24"/>
          <w:szCs w:val="24"/>
        </w:rPr>
        <w:t xml:space="preserve">= </w:t>
      </w:r>
      <m:oMath>
        <m:f>
          <m:fPr>
            <m:ctrlPr>
              <w:rPr>
                <w:rFonts w:ascii="Cambria Math" w:hAnsi="Cambria Math" w:cs="宋体"/>
                <w:i/>
                <w:color w:val="auto"/>
                <w:sz w:val="28"/>
                <w:szCs w:val="28"/>
              </w:rPr>
            </m:ctrlPr>
          </m:fPr>
          <m:num>
            <m:sSub>
              <m:sSubPr>
                <m:ctrlPr>
                  <w:rPr>
                    <w:rFonts w:hint="default" w:ascii="Times New Roman" w:hAnsi="Times New Roman" w:cs="Times New Roman"/>
                    <w:color w:val="auto"/>
                    <w:sz w:val="28"/>
                    <w:szCs w:val="28"/>
                  </w:rPr>
                </m:ctrlPr>
              </m:sSubPr>
              <m:e>
                <m:r>
                  <m:rPr>
                    <m:sty m:val="p"/>
                  </m:rPr>
                  <w:rPr>
                    <w:rFonts w:hint="default" w:ascii="Times New Roman" w:hAnsi="Times New Roman" w:cs="Times New Roman"/>
                    <w:color w:val="auto"/>
                    <w:sz w:val="28"/>
                    <w:szCs w:val="28"/>
                  </w:rPr>
                  <m:t>α</m:t>
                </m:r>
                <m:ctrlPr>
                  <w:rPr>
                    <w:rFonts w:hint="default" w:ascii="Times New Roman" w:hAnsi="Times New Roman" w:cs="Times New Roman"/>
                    <w:color w:val="auto"/>
                    <w:sz w:val="28"/>
                    <w:szCs w:val="28"/>
                  </w:rPr>
                </m:ctrlPr>
              </m:e>
              <m:sub>
                <m:r>
                  <m:rPr>
                    <m:sty m:val="p"/>
                  </m:rPr>
                  <w:rPr>
                    <w:rFonts w:hint="default" w:ascii="Times New Roman" w:hAnsi="Times New Roman" w:cs="Times New Roman"/>
                    <w:color w:val="auto"/>
                    <w:sz w:val="28"/>
                    <w:szCs w:val="28"/>
                    <w:vertAlign w:val="subscript"/>
                  </w:rPr>
                  <m:t>a</m:t>
                </m:r>
                <m:ctrlPr>
                  <w:rPr>
                    <w:rFonts w:hint="default" w:ascii="Times New Roman" w:hAnsi="Times New Roman" w:cs="Times New Roman"/>
                    <w:color w:val="auto"/>
                    <w:sz w:val="28"/>
                    <w:szCs w:val="28"/>
                  </w:rPr>
                </m:ctrlPr>
              </m:sub>
            </m:sSub>
            <m:sSub>
              <m:sSubPr>
                <m:ctrlPr>
                  <w:rPr>
                    <w:rFonts w:ascii="Arial" w:hAnsi="Arial" w:cs="Arial"/>
                    <w:color w:val="auto"/>
                    <w:sz w:val="28"/>
                    <w:szCs w:val="28"/>
                    <w:shd w:val="clear" w:color="auto" w:fill="FFFFFF"/>
                  </w:rPr>
                </m:ctrlPr>
              </m:sSubPr>
              <m:e>
                <m:r>
                  <m:rPr>
                    <m:sty m:val="p"/>
                  </m:rPr>
                  <w:rPr>
                    <w:rFonts w:ascii="Arial" w:hAnsi="Arial" w:cs="Arial"/>
                    <w:color w:val="auto"/>
                    <w:sz w:val="28"/>
                    <w:szCs w:val="28"/>
                    <w:shd w:val="clear" w:color="auto" w:fill="FFFFFF"/>
                  </w:rPr>
                  <m:t>ƒ</m:t>
                </m:r>
                <m:ctrlPr>
                  <w:rPr>
                    <w:rFonts w:ascii="Arial" w:hAnsi="Arial" w:cs="Arial"/>
                    <w:color w:val="auto"/>
                    <w:sz w:val="28"/>
                    <w:szCs w:val="28"/>
                    <w:shd w:val="clear" w:color="auto" w:fill="FFFFFF"/>
                  </w:rPr>
                </m:ctrlPr>
              </m:e>
              <m:sub>
                <m:r>
                  <m:rPr>
                    <m:sty m:val="p"/>
                  </m:rPr>
                  <w:rPr>
                    <w:rFonts w:hint="default" w:ascii="Cambria Math" w:hAnsi="Cambria Math"/>
                    <w:color w:val="auto"/>
                    <w:sz w:val="28"/>
                    <w:szCs w:val="28"/>
                    <w:vertAlign w:val="subscript"/>
                    <w:lang w:val="en-US" w:eastAsia="zh-CN"/>
                  </w:rPr>
                  <m:t>b</m:t>
                </m:r>
                <m:ctrlPr>
                  <w:rPr>
                    <w:rFonts w:ascii="Arial" w:hAnsi="Arial" w:cs="Arial"/>
                    <w:color w:val="auto"/>
                    <w:sz w:val="28"/>
                    <w:szCs w:val="28"/>
                    <w:shd w:val="clear" w:color="auto" w:fill="FFFFFF"/>
                  </w:rPr>
                </m:ctrlPr>
              </m:sub>
            </m:sSub>
            <m:ctrlPr>
              <w:rPr>
                <w:rFonts w:ascii="Cambria Math" w:hAnsi="Cambria Math" w:cs="宋体"/>
                <w:i/>
                <w:color w:val="auto"/>
                <w:sz w:val="28"/>
                <w:szCs w:val="28"/>
              </w:rPr>
            </m:ctrlPr>
          </m:num>
          <m:den>
            <m:sSub>
              <m:sSubPr>
                <m:ctrlPr>
                  <w:rPr>
                    <w:rFonts w:ascii="Arial" w:hAnsi="Arial" w:cs="Arial"/>
                    <w:color w:val="auto"/>
                    <w:sz w:val="28"/>
                    <w:szCs w:val="28"/>
                    <w:shd w:val="clear" w:color="auto" w:fill="FFFFFF"/>
                  </w:rPr>
                </m:ctrlPr>
              </m:sSubPr>
              <m:e>
                <m:r>
                  <m:rPr>
                    <m:sty m:val="p"/>
                  </m:rPr>
                  <w:rPr>
                    <w:rFonts w:ascii="Arial" w:hAnsi="Arial" w:cs="Arial"/>
                    <w:color w:val="auto"/>
                    <w:sz w:val="28"/>
                    <w:szCs w:val="28"/>
                    <w:shd w:val="clear" w:color="auto" w:fill="FFFFFF"/>
                  </w:rPr>
                  <m:t>ƒ</m:t>
                </m:r>
                <m:ctrlPr>
                  <w:rPr>
                    <w:rFonts w:ascii="Arial" w:hAnsi="Arial" w:cs="Arial"/>
                    <w:color w:val="auto"/>
                    <w:sz w:val="28"/>
                    <w:szCs w:val="28"/>
                    <w:shd w:val="clear" w:color="auto" w:fill="FFFFFF"/>
                  </w:rPr>
                </m:ctrlPr>
              </m:e>
              <m:sub>
                <m:r>
                  <m:rPr>
                    <m:sty m:val="p"/>
                  </m:rPr>
                  <w:rPr>
                    <w:color w:val="auto"/>
                    <w:sz w:val="28"/>
                    <w:szCs w:val="28"/>
                    <w:vertAlign w:val="subscript"/>
                  </w:rPr>
                  <m:t>cu</m:t>
                </m:r>
                <m:r>
                  <m:rPr>
                    <m:sty m:val="p"/>
                  </m:rPr>
                  <w:rPr>
                    <w:rFonts w:hint="default" w:ascii="Cambria Math" w:hAnsi="Cambria Math"/>
                    <w:color w:val="auto"/>
                    <w:sz w:val="28"/>
                    <w:szCs w:val="28"/>
                    <w:vertAlign w:val="subscript"/>
                    <w:lang w:val="en-US" w:eastAsia="zh-CN"/>
                  </w:rPr>
                  <m:t>,0</m:t>
                </m:r>
                <m:ctrlPr>
                  <w:rPr>
                    <w:rFonts w:ascii="Arial" w:hAnsi="Arial" w:cs="Arial"/>
                    <w:color w:val="auto"/>
                    <w:sz w:val="28"/>
                    <w:szCs w:val="28"/>
                    <w:shd w:val="clear" w:color="auto" w:fill="FFFFFF"/>
                  </w:rPr>
                </m:ctrlPr>
              </m:sub>
            </m:sSub>
            <m:r>
              <m:rPr>
                <m:sty m:val="p"/>
              </m:rPr>
              <w:rPr>
                <w:rFonts w:hint="default" w:ascii="Cambria Math" w:hAnsi="Cambria Math"/>
                <w:color w:val="auto"/>
                <w:sz w:val="28"/>
                <w:szCs w:val="28"/>
                <w:vertAlign w:val="subscript"/>
                <w:lang w:val="en-US" w:eastAsia="zh-CN"/>
              </w:rPr>
              <m:t>+</m:t>
            </m:r>
            <m:sSub>
              <m:sSubPr>
                <m:ctrlPr>
                  <w:rPr>
                    <w:rFonts w:hint="default" w:ascii="Times New Roman" w:hAnsi="Times New Roman" w:cs="Times New Roman"/>
                    <w:color w:val="auto"/>
                    <w:sz w:val="28"/>
                    <w:szCs w:val="28"/>
                  </w:rPr>
                </m:ctrlPr>
              </m:sSubPr>
              <m:e>
                <m:r>
                  <m:rPr>
                    <m:sty m:val="p"/>
                  </m:rPr>
                  <w:rPr>
                    <w:rFonts w:hint="default" w:ascii="Times New Roman" w:hAnsi="Times New Roman" w:cs="Times New Roman"/>
                    <w:color w:val="auto"/>
                    <w:sz w:val="28"/>
                    <w:szCs w:val="28"/>
                  </w:rPr>
                  <m:t>α</m:t>
                </m:r>
                <m:ctrlPr>
                  <w:rPr>
                    <w:rFonts w:hint="default" w:ascii="Times New Roman" w:hAnsi="Times New Roman" w:cs="Times New Roman"/>
                    <w:color w:val="auto"/>
                    <w:sz w:val="28"/>
                    <w:szCs w:val="28"/>
                  </w:rPr>
                </m:ctrlPr>
              </m:e>
              <m:sub>
                <m:r>
                  <m:rPr>
                    <m:sty m:val="p"/>
                  </m:rPr>
                  <w:rPr>
                    <w:rFonts w:hint="default" w:ascii="Times New Roman" w:hAnsi="Times New Roman" w:cs="Times New Roman"/>
                    <w:color w:val="auto"/>
                    <w:sz w:val="28"/>
                    <w:szCs w:val="28"/>
                    <w:vertAlign w:val="subscript"/>
                  </w:rPr>
                  <m:t>a</m:t>
                </m:r>
                <m:ctrlPr>
                  <w:rPr>
                    <w:rFonts w:hint="default" w:ascii="Times New Roman" w:hAnsi="Times New Roman" w:cs="Times New Roman"/>
                    <w:color w:val="auto"/>
                    <w:sz w:val="28"/>
                    <w:szCs w:val="28"/>
                  </w:rPr>
                </m:ctrlPr>
              </m:sub>
            </m:sSub>
            <m:sSub>
              <m:sSubPr>
                <m:ctrlPr>
                  <w:rPr>
                    <w:rFonts w:hint="default" w:ascii="Times New Roman" w:hAnsi="Times New Roman" w:cs="Times New Roman"/>
                    <w:color w:val="auto"/>
                    <w:sz w:val="28"/>
                    <w:szCs w:val="28"/>
                  </w:rPr>
                </m:ctrlPr>
              </m:sSubPr>
              <m:e>
                <m:r>
                  <m:rPr>
                    <m:sty m:val="p"/>
                  </m:rPr>
                  <w:rPr>
                    <w:rFonts w:hint="default" w:ascii="Times New Roman" w:hAnsi="Times New Roman" w:cs="Times New Roman"/>
                    <w:color w:val="auto"/>
                    <w:sz w:val="28"/>
                    <w:szCs w:val="28"/>
                  </w:rPr>
                  <m:t>α</m:t>
                </m:r>
                <m:ctrlPr>
                  <w:rPr>
                    <w:rFonts w:hint="default" w:ascii="Times New Roman" w:hAnsi="Times New Roman" w:cs="Times New Roman"/>
                    <w:color w:val="auto"/>
                    <w:sz w:val="28"/>
                    <w:szCs w:val="28"/>
                  </w:rPr>
                </m:ctrlPr>
              </m:e>
              <m:sub>
                <m:r>
                  <m:rPr>
                    <m:sty m:val="p"/>
                  </m:rPr>
                  <w:rPr>
                    <w:rFonts w:hint="default" w:ascii="Cambria Math" w:hAnsi="Cambria Math" w:cs="Times New Roman"/>
                    <w:color w:val="auto"/>
                    <w:sz w:val="28"/>
                    <w:szCs w:val="28"/>
                    <w:lang w:val="en-US" w:eastAsia="zh-CN"/>
                  </w:rPr>
                  <m:t>b</m:t>
                </m:r>
                <m:ctrlPr>
                  <w:rPr>
                    <w:rFonts w:hint="default" w:ascii="Times New Roman" w:hAnsi="Times New Roman" w:cs="Times New Roman"/>
                    <w:color w:val="auto"/>
                    <w:sz w:val="28"/>
                    <w:szCs w:val="28"/>
                  </w:rPr>
                </m:ctrlPr>
              </m:sub>
            </m:sSub>
            <m:sSub>
              <m:sSubPr>
                <m:ctrlPr>
                  <w:rPr>
                    <w:rFonts w:ascii="Arial" w:hAnsi="Arial" w:cs="Arial"/>
                    <w:color w:val="auto"/>
                    <w:sz w:val="28"/>
                    <w:szCs w:val="28"/>
                    <w:shd w:val="clear" w:color="auto" w:fill="FFFFFF"/>
                  </w:rPr>
                </m:ctrlPr>
              </m:sSubPr>
              <m:e>
                <m:r>
                  <m:rPr>
                    <m:sty m:val="p"/>
                  </m:rPr>
                  <w:rPr>
                    <w:rFonts w:ascii="Arial" w:hAnsi="Arial" w:cs="Arial"/>
                    <w:color w:val="auto"/>
                    <w:sz w:val="28"/>
                    <w:szCs w:val="28"/>
                    <w:shd w:val="clear" w:color="auto" w:fill="FFFFFF"/>
                  </w:rPr>
                  <m:t>ƒ</m:t>
                </m:r>
                <m:ctrlPr>
                  <w:rPr>
                    <w:rFonts w:ascii="Arial" w:hAnsi="Arial" w:cs="Arial"/>
                    <w:color w:val="auto"/>
                    <w:sz w:val="28"/>
                    <w:szCs w:val="28"/>
                    <w:shd w:val="clear" w:color="auto" w:fill="FFFFFF"/>
                  </w:rPr>
                </m:ctrlPr>
              </m:e>
              <m:sub>
                <m:r>
                  <m:rPr>
                    <m:sty m:val="p"/>
                  </m:rPr>
                  <w:rPr>
                    <w:rFonts w:hint="default" w:ascii="Cambria Math" w:hAnsi="Cambria Math"/>
                    <w:color w:val="auto"/>
                    <w:sz w:val="28"/>
                    <w:szCs w:val="28"/>
                    <w:vertAlign w:val="subscript"/>
                    <w:lang w:val="en-US" w:eastAsia="zh-CN"/>
                  </w:rPr>
                  <m:t>b</m:t>
                </m:r>
                <m:ctrlPr>
                  <w:rPr>
                    <w:rFonts w:ascii="Arial" w:hAnsi="Arial" w:cs="Arial"/>
                    <w:color w:val="auto"/>
                    <w:sz w:val="28"/>
                    <w:szCs w:val="28"/>
                    <w:shd w:val="clear" w:color="auto" w:fill="FFFFFF"/>
                  </w:rPr>
                </m:ctrlPr>
              </m:sub>
            </m:sSub>
            <m:r>
              <m:rPr>
                <m:sty m:val="p"/>
              </m:rPr>
              <w:rPr>
                <w:rFonts w:hint="eastAsia" w:hAnsi="Cambria Math"/>
                <w:color w:val="auto"/>
                <w:spacing w:val="-2"/>
                <w:w w:val="48"/>
                <w:sz w:val="28"/>
                <w:szCs w:val="28"/>
              </w:rPr>
              <m:t xml:space="preserve"> </m:t>
            </m:r>
            <m:ctrlPr>
              <w:rPr>
                <w:rFonts w:ascii="Cambria Math" w:hAnsi="Cambria Math" w:cs="宋体"/>
                <w:i/>
                <w:color w:val="auto"/>
                <w:sz w:val="28"/>
                <w:szCs w:val="28"/>
              </w:rPr>
            </m:ctrlPr>
          </m:den>
        </m:f>
      </m:oMath>
      <w:r>
        <w:rPr>
          <w:rFonts w:ascii="微软雅黑" w:hAnsi="微软雅黑" w:cs="宋体"/>
          <w:color w:val="auto"/>
          <w:sz w:val="24"/>
          <w:szCs w:val="24"/>
        </w:rPr>
        <w:fldChar w:fldCharType="begin"/>
      </w:r>
      <w:r>
        <w:rPr>
          <w:rFonts w:ascii="微软雅黑" w:hAnsi="微软雅黑" w:cs="宋体"/>
          <w:color w:val="auto"/>
          <w:sz w:val="24"/>
          <w:szCs w:val="24"/>
        </w:rPr>
        <w:instrText xml:space="preserve"> QUOTE </w:instrText>
      </w:r>
      <w:r>
        <w:rPr>
          <w:rFonts w:ascii="微软雅黑" w:hAnsi="微软雅黑"/>
          <w:color w:val="auto"/>
          <w:sz w:val="24"/>
          <w:szCs w:val="24"/>
        </w:rPr>
        <w:pict>
          <v:shape id="_x0000_i1034" o:spt="75" type="#_x0000_t75" style="height:32.5pt;width:77.5pt;" filled="f" o:preferrelative="t" stroked="f" coordsize="21600,21600" equationxml="&lt;">
            <v:path/>
            <v:fill on="f" focussize="0,0"/>
            <v:stroke on="f" joinstyle="miter"/>
            <v:imagedata r:id="rId22" chromakey="#FFFFFF" o:title=""/>
            <o:lock v:ext="edit" aspectratio="t"/>
            <w10:wrap type="none"/>
            <w10:anchorlock/>
          </v:shape>
        </w:pict>
      </w:r>
      <w:r>
        <w:rPr>
          <w:rFonts w:ascii="微软雅黑" w:hAnsi="微软雅黑" w:cs="宋体"/>
          <w:color w:val="auto"/>
          <w:sz w:val="24"/>
          <w:szCs w:val="24"/>
        </w:rPr>
        <w:fldChar w:fldCharType="end"/>
      </w:r>
      <w:r>
        <w:rPr>
          <w:rFonts w:ascii="微软雅黑" w:hAnsi="微软雅黑" w:cs="宋体"/>
          <w:color w:val="auto"/>
          <w:sz w:val="24"/>
          <w:szCs w:val="24"/>
        </w:rPr>
        <w:t xml:space="preserve"> </w:t>
      </w:r>
      <w:r>
        <w:rPr>
          <w:rFonts w:hint="eastAsia" w:ascii="微软雅黑" w:hAnsi="微软雅黑" w:cs="宋体"/>
          <w:color w:val="auto"/>
          <w:sz w:val="24"/>
          <w:szCs w:val="24"/>
          <w:lang w:val="en-US" w:eastAsia="zh-CN"/>
        </w:rPr>
        <w:t xml:space="preserve">   </w:t>
      </w:r>
      <w:r>
        <w:rPr>
          <w:rFonts w:hint="eastAsia" w:ascii="微软雅黑" w:hAnsi="微软雅黑" w:cs="宋体"/>
          <w:color w:val="auto"/>
          <w:sz w:val="24"/>
        </w:rPr>
        <w:t xml:space="preserve"> </w:t>
      </w:r>
      <w:r>
        <w:rPr>
          <w:color w:val="auto"/>
          <w:sz w:val="24"/>
        </w:rPr>
        <w:t xml:space="preserve"> (6.2.3-1) </w:t>
      </w:r>
      <w:r>
        <w:rPr>
          <w:rFonts w:hint="eastAsia" w:ascii="微软雅黑" w:hAnsi="微软雅黑" w:cs="宋体"/>
          <w:color w:val="auto"/>
          <w:sz w:val="24"/>
        </w:rPr>
        <w:t xml:space="preserve">        </w:t>
      </w:r>
      <w:r>
        <w:rPr>
          <w:rFonts w:ascii="微软雅黑" w:hAnsi="微软雅黑" w:cs="宋体"/>
          <w:color w:val="auto"/>
          <w:sz w:val="24"/>
        </w:rPr>
        <w:t xml:space="preserve"> </w:t>
      </w:r>
    </w:p>
    <w:p>
      <w:pPr>
        <w:spacing w:line="360" w:lineRule="auto"/>
        <w:rPr>
          <w:color w:val="auto"/>
          <w:sz w:val="24"/>
        </w:rPr>
      </w:pPr>
      <w:r>
        <w:rPr>
          <w:rFonts w:hint="eastAsia"/>
          <w:color w:val="auto"/>
          <w:sz w:val="24"/>
        </w:rPr>
        <w:t>式中：</w:t>
      </w:r>
      <w:r>
        <w:rPr>
          <w:color w:val="auto"/>
          <w:sz w:val="24"/>
        </w:rPr>
        <w:t>α</w:t>
      </w:r>
      <w:r>
        <w:rPr>
          <w:color w:val="auto"/>
          <w:sz w:val="24"/>
          <w:vertAlign w:val="subscript"/>
        </w:rPr>
        <w:t>a</w:t>
      </w:r>
      <w:r>
        <w:rPr>
          <w:color w:val="auto"/>
          <w:sz w:val="24"/>
        </w:rPr>
        <w:t>、α</w:t>
      </w:r>
      <w:r>
        <w:rPr>
          <w:color w:val="auto"/>
          <w:sz w:val="24"/>
          <w:vertAlign w:val="subscript"/>
        </w:rPr>
        <w:t>b</w:t>
      </w:r>
      <w:r>
        <w:rPr>
          <w:rFonts w:hint="eastAsia"/>
          <w:color w:val="auto"/>
          <w:sz w:val="24"/>
        </w:rPr>
        <w:t>——回归系数，可按照下列规定取值：</w:t>
      </w:r>
    </w:p>
    <w:p>
      <w:pPr>
        <w:spacing w:line="360" w:lineRule="auto"/>
        <w:ind w:firstLine="560"/>
        <w:rPr>
          <w:rFonts w:hint="eastAsia" w:hAnsi="Cambria Math"/>
          <w:color w:val="auto"/>
          <w:sz w:val="24"/>
        </w:rPr>
      </w:pPr>
      <w:r>
        <w:rPr>
          <w:rFonts w:hint="eastAsia" w:hAnsi="Cambria Math"/>
          <w:b/>
          <w:bCs/>
          <w:color w:val="auto"/>
          <w:sz w:val="24"/>
        </w:rPr>
        <w:t>1</w:t>
      </w:r>
      <w:r>
        <w:rPr>
          <w:rFonts w:hint="eastAsia" w:hAnsi="Cambria Math"/>
          <w:color w:val="auto"/>
          <w:sz w:val="24"/>
        </w:rPr>
        <w:t xml:space="preserve">  根据生产所使用的原材料，通过试验建立的水胶比与混凝土强度关系式来确定；</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hAnsi="Cambria Math"/>
          <w:color w:val="auto"/>
          <w:sz w:val="24"/>
        </w:rPr>
      </w:pPr>
      <w:r>
        <w:rPr>
          <w:rFonts w:hint="eastAsia" w:hAnsi="Cambria Math"/>
          <w:b/>
          <w:bCs/>
          <w:color w:val="auto"/>
          <w:sz w:val="24"/>
        </w:rPr>
        <w:t>2</w:t>
      </w:r>
      <w:r>
        <w:rPr>
          <w:rFonts w:hint="eastAsia" w:hAnsi="Cambria Math"/>
          <w:color w:val="auto"/>
          <w:sz w:val="24"/>
        </w:rPr>
        <w:t xml:space="preserve">  当不具备上述试验统计资料时，可按表6.2.3-1选用。</w:t>
      </w:r>
    </w:p>
    <w:p>
      <w:pPr>
        <w:spacing w:line="360" w:lineRule="auto"/>
        <w:ind w:firstLine="560"/>
        <w:jc w:val="center"/>
        <w:rPr>
          <w:rFonts w:hint="eastAsia" w:hAnsi="Cambria Math"/>
          <w:b/>
          <w:bCs/>
          <w:color w:val="auto"/>
          <w:sz w:val="22"/>
          <w:szCs w:val="22"/>
        </w:rPr>
      </w:pPr>
      <w:r>
        <w:rPr>
          <w:rFonts w:hint="eastAsia"/>
          <w:b/>
          <w:bCs/>
          <w:color w:val="auto"/>
          <w:w w:val="105"/>
          <w:sz w:val="24"/>
        </w:rPr>
        <w:t xml:space="preserve">   </w:t>
      </w:r>
      <w:r>
        <w:rPr>
          <w:rFonts w:hint="eastAsia"/>
          <w:b/>
          <w:bCs/>
          <w:color w:val="auto"/>
          <w:w w:val="105"/>
          <w:sz w:val="22"/>
          <w:szCs w:val="22"/>
        </w:rPr>
        <w:t xml:space="preserve">表6.2.3-1 回归系数 </w:t>
      </w:r>
      <m:oMath>
        <m:sSub>
          <m:sSubPr>
            <m:ctrlPr>
              <w:rPr>
                <w:rFonts w:ascii="Cambria Math" w:hAnsi="Cambria Math"/>
                <w:b/>
                <w:color w:val="auto"/>
                <w:sz w:val="28"/>
                <w:szCs w:val="28"/>
              </w:rPr>
            </m:ctrlPr>
          </m:sSubPr>
          <m:e>
            <m:r>
              <m:rPr>
                <m:sty m:val="b"/>
              </m:rPr>
              <w:rPr>
                <w:rFonts w:ascii="Cambria Math" w:hAnsi="Cambria Math"/>
                <w:color w:val="auto"/>
                <w:sz w:val="28"/>
                <w:szCs w:val="28"/>
              </w:rPr>
              <m:t>α</m:t>
            </m:r>
            <m:ctrlPr>
              <w:rPr>
                <w:rFonts w:ascii="Cambria Math" w:hAnsi="Cambria Math"/>
                <w:b/>
                <w:color w:val="auto"/>
                <w:sz w:val="28"/>
                <w:szCs w:val="28"/>
              </w:rPr>
            </m:ctrlPr>
          </m:e>
          <m:sub>
            <m:r>
              <m:rPr>
                <m:sty m:val="b"/>
              </m:rPr>
              <w:rPr>
                <w:rFonts w:ascii="Cambria Math" w:hAnsi="Cambria Math"/>
                <w:color w:val="auto"/>
                <w:sz w:val="28"/>
                <w:szCs w:val="28"/>
              </w:rPr>
              <m:t>a</m:t>
            </m:r>
            <m:ctrlPr>
              <w:rPr>
                <w:rFonts w:ascii="Cambria Math" w:hAnsi="Cambria Math"/>
                <w:b/>
                <w:color w:val="auto"/>
                <w:sz w:val="28"/>
                <w:szCs w:val="28"/>
              </w:rPr>
            </m:ctrlPr>
          </m:sub>
        </m:sSub>
        <m:r>
          <m:rPr>
            <m:sty m:val="b"/>
          </m:rPr>
          <w:rPr>
            <w:rFonts w:hint="eastAsia" w:ascii="Cambria Math" w:hAnsi="Cambria Math"/>
            <w:color w:val="auto"/>
            <w:sz w:val="28"/>
            <w:szCs w:val="28"/>
          </w:rPr>
          <m:t>、</m:t>
        </m:r>
        <m:sSub>
          <m:sSubPr>
            <m:ctrlPr>
              <w:rPr>
                <w:rFonts w:hint="eastAsia" w:ascii="Cambria Math" w:hAnsi="Cambria Math"/>
                <w:b/>
                <w:color w:val="auto"/>
                <w:sz w:val="28"/>
                <w:szCs w:val="28"/>
              </w:rPr>
            </m:ctrlPr>
          </m:sSubPr>
          <m:e>
            <m:r>
              <m:rPr>
                <m:sty m:val="b"/>
              </m:rPr>
              <w:rPr>
                <w:rFonts w:ascii="Cambria Math" w:hAnsi="Cambria Math"/>
                <w:color w:val="auto"/>
                <w:sz w:val="28"/>
                <w:szCs w:val="28"/>
              </w:rPr>
              <m:t>α</m:t>
            </m:r>
            <m:ctrlPr>
              <w:rPr>
                <w:rFonts w:hint="eastAsia" w:ascii="Cambria Math" w:hAnsi="Cambria Math"/>
                <w:b/>
                <w:color w:val="auto"/>
                <w:sz w:val="28"/>
                <w:szCs w:val="28"/>
              </w:rPr>
            </m:ctrlPr>
          </m:e>
          <m:sub>
            <m:r>
              <m:rPr>
                <m:sty m:val="b"/>
              </m:rPr>
              <w:rPr>
                <w:rFonts w:ascii="Cambria Math" w:hAnsi="Cambria Math"/>
                <w:color w:val="auto"/>
                <w:sz w:val="28"/>
                <w:szCs w:val="28"/>
              </w:rPr>
              <m:t>b</m:t>
            </m:r>
            <m:ctrlPr>
              <w:rPr>
                <w:rFonts w:hint="eastAsia" w:ascii="Cambria Math" w:hAnsi="Cambria Math"/>
                <w:b/>
                <w:color w:val="auto"/>
                <w:sz w:val="28"/>
                <w:szCs w:val="28"/>
              </w:rPr>
            </m:ctrlPr>
          </m:sub>
        </m:sSub>
      </m:oMath>
      <w:r>
        <w:rPr>
          <w:rFonts w:hint="eastAsia"/>
          <w:b/>
          <w:bCs/>
          <w:color w:val="auto"/>
          <w:w w:val="105"/>
          <w:sz w:val="22"/>
          <w:szCs w:val="22"/>
        </w:rPr>
        <w:t xml:space="preserve"> </w:t>
      </w:r>
      <w:r>
        <w:rPr>
          <w:rFonts w:hint="eastAsia" w:hAnsi="Cambria Math"/>
          <w:b/>
          <w:bCs/>
          <w:color w:val="auto"/>
          <w:sz w:val="22"/>
          <w:szCs w:val="22"/>
        </w:rPr>
        <w:t>选用表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707" w:type="dxa"/>
            <w:tcBorders>
              <w:tl2br w:val="single" w:color="auto" w:sz="4" w:space="0"/>
            </w:tcBorders>
          </w:tcPr>
          <w:p>
            <w:pPr>
              <w:snapToGrid w:val="0"/>
              <w:spacing w:line="360" w:lineRule="auto"/>
              <w:ind w:firstLine="1100" w:firstLineChars="500"/>
              <w:rPr>
                <w:rFonts w:hint="eastAsia" w:hAnsi="Cambria Math"/>
                <w:color w:val="auto"/>
                <w:sz w:val="22"/>
                <w:szCs w:val="22"/>
              </w:rPr>
            </w:pPr>
            <w:r>
              <w:rPr>
                <w:rFonts w:hint="eastAsia" w:hAnsi="Cambria Math"/>
                <w:color w:val="auto"/>
                <w:sz w:val="22"/>
                <w:szCs w:val="22"/>
              </w:rPr>
              <w:t>粗骨料品种</w:t>
            </w:r>
          </w:p>
          <w:p>
            <w:pPr>
              <w:spacing w:line="360" w:lineRule="auto"/>
              <w:rPr>
                <w:rFonts w:hint="eastAsia" w:hAnsi="Cambria Math"/>
                <w:color w:val="auto"/>
                <w:sz w:val="22"/>
                <w:szCs w:val="22"/>
              </w:rPr>
            </w:pPr>
            <w:r>
              <w:rPr>
                <w:rFonts w:hint="eastAsia" w:hAnsi="Cambria Math"/>
                <w:color w:val="auto"/>
                <w:sz w:val="22"/>
                <w:szCs w:val="22"/>
              </w:rPr>
              <w:t>回归系数</w:t>
            </w:r>
          </w:p>
        </w:tc>
        <w:tc>
          <w:tcPr>
            <w:tcW w:w="231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碎石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2707" w:type="dxa"/>
            <w:vAlign w:val="center"/>
          </w:tcPr>
          <w:p>
            <w:pPr>
              <w:spacing w:line="360" w:lineRule="auto"/>
              <w:jc w:val="center"/>
              <w:rPr>
                <w:rFonts w:hint="eastAsia" w:hAnsi="Cambria Math"/>
                <w:color w:val="auto"/>
                <w:sz w:val="22"/>
                <w:szCs w:val="22"/>
              </w:rPr>
            </w:pPr>
            <m:oMathPara>
              <m:oMath>
                <m:sSub>
                  <m:sSubPr>
                    <m:ctrlPr>
                      <w:rPr>
                        <w:rFonts w:ascii="Cambria Math" w:hAnsi="Cambria Math"/>
                        <w:i/>
                        <w:color w:val="auto"/>
                        <w:sz w:val="24"/>
                      </w:rPr>
                    </m:ctrlPr>
                  </m:sSubPr>
                  <m:e>
                    <m:r>
                      <m:rPr/>
                      <w:rPr>
                        <w:rFonts w:ascii="Cambria Math" w:hAnsi="Cambria Math"/>
                        <w:color w:val="auto"/>
                        <w:sz w:val="24"/>
                      </w:rPr>
                      <m:t>α</m:t>
                    </m:r>
                    <m:ctrlPr>
                      <w:rPr>
                        <w:rFonts w:ascii="Cambria Math" w:hAnsi="Cambria Math"/>
                        <w:i/>
                        <w:color w:val="auto"/>
                        <w:sz w:val="24"/>
                      </w:rPr>
                    </m:ctrlPr>
                  </m:e>
                  <m:sub>
                    <m:r>
                      <m:rPr/>
                      <w:rPr>
                        <w:rFonts w:ascii="Cambria Math" w:hAnsi="Cambria Math"/>
                        <w:color w:val="auto"/>
                        <w:sz w:val="24"/>
                      </w:rPr>
                      <m:t>a</m:t>
                    </m:r>
                    <m:ctrlPr>
                      <w:rPr>
                        <w:rFonts w:ascii="Cambria Math" w:hAnsi="Cambria Math"/>
                        <w:i/>
                        <w:color w:val="auto"/>
                        <w:sz w:val="24"/>
                      </w:rPr>
                    </m:ctrlPr>
                  </m:sub>
                </m:sSub>
              </m:oMath>
            </m:oMathPara>
          </w:p>
        </w:tc>
        <w:tc>
          <w:tcPr>
            <w:tcW w:w="231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707" w:type="dxa"/>
            <w:vAlign w:val="center"/>
          </w:tcPr>
          <w:p>
            <w:pPr>
              <w:spacing w:line="360" w:lineRule="auto"/>
              <w:jc w:val="center"/>
              <w:rPr>
                <w:rFonts w:hint="eastAsia" w:hAnsi="Cambria Math"/>
                <w:color w:val="auto"/>
                <w:sz w:val="22"/>
                <w:szCs w:val="22"/>
              </w:rPr>
            </w:pPr>
            <m:oMathPara>
              <m:oMath>
                <m:sSub>
                  <m:sSubPr>
                    <m:ctrlPr>
                      <w:rPr>
                        <w:rFonts w:ascii="Cambria Math" w:hAnsi="Cambria Math"/>
                        <w:i/>
                        <w:color w:val="auto"/>
                        <w:sz w:val="24"/>
                      </w:rPr>
                    </m:ctrlPr>
                  </m:sSubPr>
                  <m:e>
                    <m:r>
                      <m:rPr/>
                      <w:rPr>
                        <w:rFonts w:ascii="Cambria Math" w:hAnsi="Cambria Math"/>
                        <w:color w:val="auto"/>
                        <w:sz w:val="24"/>
                      </w:rPr>
                      <m:t>α</m:t>
                    </m:r>
                    <m:ctrlPr>
                      <w:rPr>
                        <w:rFonts w:ascii="Cambria Math" w:hAnsi="Cambria Math"/>
                        <w:i/>
                        <w:color w:val="auto"/>
                        <w:sz w:val="24"/>
                      </w:rPr>
                    </m:ctrlPr>
                  </m:e>
                  <m:sub>
                    <m:r>
                      <m:rPr/>
                      <w:rPr>
                        <w:rFonts w:ascii="Cambria Math" w:hAnsi="Cambria Math"/>
                        <w:color w:val="auto"/>
                        <w:sz w:val="24"/>
                      </w:rPr>
                      <m:t>b</m:t>
                    </m:r>
                    <m:ctrlPr>
                      <w:rPr>
                        <w:rFonts w:ascii="Cambria Math" w:hAnsi="Cambria Math"/>
                        <w:i/>
                        <w:color w:val="auto"/>
                        <w:sz w:val="24"/>
                      </w:rPr>
                    </m:ctrlPr>
                  </m:sub>
                </m:sSub>
              </m:oMath>
            </m:oMathPara>
          </w:p>
        </w:tc>
        <w:tc>
          <w:tcPr>
            <w:tcW w:w="231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0.20</w:t>
            </w:r>
          </w:p>
        </w:tc>
      </w:tr>
    </w:tbl>
    <w:p>
      <w:pPr>
        <w:spacing w:line="360" w:lineRule="auto"/>
        <w:ind w:firstLine="560" w:firstLineChars="200"/>
        <w:rPr>
          <w:color w:val="auto"/>
          <w:sz w:val="24"/>
        </w:rPr>
      </w:pPr>
      <m:oMath>
        <m:sSub>
          <m:sSubPr>
            <m:ctrlPr>
              <w:rPr>
                <w:rFonts w:ascii="Arial" w:hAnsi="Arial" w:cs="Arial"/>
                <w:color w:val="auto"/>
                <w:sz w:val="28"/>
                <w:szCs w:val="28"/>
                <w:shd w:val="clear" w:color="auto" w:fill="FFFFFF"/>
              </w:rPr>
            </m:ctrlPr>
          </m:sSubPr>
          <m:e>
            <m:r>
              <m:rPr>
                <m:sty m:val="p"/>
              </m:rPr>
              <w:rPr>
                <w:rFonts w:ascii="Arial" w:hAnsi="Arial" w:cs="Arial"/>
                <w:color w:val="auto"/>
                <w:sz w:val="28"/>
                <w:szCs w:val="28"/>
                <w:shd w:val="clear" w:color="auto" w:fill="FFFFFF"/>
              </w:rPr>
              <m:t>ƒ</m:t>
            </m:r>
            <m:ctrlPr>
              <w:rPr>
                <w:rFonts w:ascii="Arial" w:hAnsi="Arial" w:cs="Arial"/>
                <w:color w:val="auto"/>
                <w:sz w:val="28"/>
                <w:szCs w:val="28"/>
                <w:shd w:val="clear" w:color="auto" w:fill="FFFFFF"/>
              </w:rPr>
            </m:ctrlPr>
          </m:e>
          <m:sub>
            <m:r>
              <m:rPr>
                <m:sty m:val="p"/>
              </m:rPr>
              <w:rPr>
                <w:rFonts w:hint="default" w:ascii="Cambria Math" w:hAnsi="Cambria Math"/>
                <w:color w:val="auto"/>
                <w:sz w:val="28"/>
                <w:szCs w:val="28"/>
                <w:vertAlign w:val="subscript"/>
                <w:lang w:val="en-US" w:eastAsia="zh-CN"/>
              </w:rPr>
              <m:t>b</m:t>
            </m:r>
            <m:ctrlPr>
              <w:rPr>
                <w:rFonts w:ascii="Arial" w:hAnsi="Arial" w:cs="Arial"/>
                <w:color w:val="auto"/>
                <w:sz w:val="28"/>
                <w:szCs w:val="28"/>
                <w:shd w:val="clear" w:color="auto" w:fill="FFFFFF"/>
              </w:rPr>
            </m:ctrlPr>
          </m:sub>
        </m:sSub>
      </m:oMath>
      <w:r>
        <w:rPr>
          <w:color w:val="auto"/>
          <w:sz w:val="24"/>
        </w:rPr>
        <w:fldChar w:fldCharType="begin"/>
      </w:r>
      <w:r>
        <w:rPr>
          <w:color w:val="auto"/>
          <w:sz w:val="24"/>
        </w:rPr>
        <w:instrText xml:space="preserve"> QUOTE </w:instrText>
      </w:r>
      <w:r>
        <w:rPr>
          <w:color w:val="auto"/>
          <w:sz w:val="24"/>
        </w:rPr>
        <w:pict>
          <v:shape id="_x0000_i1035" o:spt="75" type="#_x0000_t75" style="height:15pt;width:14.5pt;" filled="f" o:preferrelative="t" stroked="f" coordsize="21600,21600" equationxml="&lt;">
            <v:path/>
            <v:fill on="f" focussize="0,0"/>
            <v:stroke on="f" joinstyle="miter"/>
            <v:imagedata r:id="rId15" chromakey="#FFFFFF" o:title=""/>
            <o:lock v:ext="edit" aspectratio="t"/>
            <w10:wrap type="none"/>
            <w10:anchorlock/>
          </v:shape>
        </w:pict>
      </w:r>
      <w:r>
        <w:rPr>
          <w:color w:val="auto"/>
          <w:sz w:val="24"/>
        </w:rPr>
        <w:fldChar w:fldCharType="end"/>
      </w:r>
      <w:r>
        <w:rPr>
          <w:color w:val="auto"/>
          <w:sz w:val="24"/>
        </w:rPr>
        <w:t>——</w:t>
      </w:r>
      <w:r>
        <w:rPr>
          <w:rFonts w:hint="eastAsia"/>
          <w:color w:val="auto"/>
          <w:sz w:val="24"/>
        </w:rPr>
        <w:t>胶凝材料</w:t>
      </w:r>
      <w:r>
        <w:rPr>
          <w:color w:val="auto"/>
          <w:sz w:val="24"/>
        </w:rPr>
        <w:t>28d胶砂</w:t>
      </w:r>
      <w:r>
        <w:rPr>
          <w:rFonts w:hint="eastAsia"/>
          <w:color w:val="auto"/>
          <w:sz w:val="24"/>
        </w:rPr>
        <w:t>抗压强度</w:t>
      </w:r>
      <w:r>
        <w:rPr>
          <w:color w:val="auto"/>
          <w:sz w:val="24"/>
        </w:rPr>
        <w:t xml:space="preserve"> (MPa)，可实测，且试验方法应按现行国家标准《水泥胶砂强度检验方法（</w:t>
      </w:r>
      <w:r>
        <w:rPr>
          <w:rFonts w:hint="eastAsia"/>
          <w:color w:val="auto"/>
          <w:sz w:val="24"/>
        </w:rPr>
        <w:t>ISO法</w:t>
      </w:r>
      <w:r>
        <w:rPr>
          <w:color w:val="auto"/>
          <w:sz w:val="24"/>
        </w:rPr>
        <w:t>）》</w:t>
      </w:r>
      <w:r>
        <w:rPr>
          <w:rFonts w:hint="eastAsia"/>
          <w:color w:val="auto"/>
          <w:sz w:val="24"/>
        </w:rPr>
        <w:t>GB/T17671执行。</w:t>
      </w:r>
    </w:p>
    <w:p>
      <w:pPr>
        <w:spacing w:line="360" w:lineRule="auto"/>
        <w:ind w:firstLine="560"/>
        <w:rPr>
          <w:rFonts w:hint="eastAsia" w:hAnsi="Cambria Math"/>
          <w:color w:val="auto"/>
          <w:sz w:val="24"/>
        </w:rPr>
      </w:pPr>
      <w:r>
        <w:rPr>
          <w:rFonts w:hint="eastAsia" w:hAnsi="Cambria Math"/>
          <w:color w:val="auto"/>
          <w:sz w:val="24"/>
        </w:rPr>
        <w:t>当矿物掺合料为粉煤灰和粒化高炉矿渣粉且无实测值时，可按式6.2.3-2计算：</w:t>
      </w:r>
    </w:p>
    <w:p>
      <w:pPr>
        <w:spacing w:line="360" w:lineRule="auto"/>
        <w:jc w:val="center"/>
        <w:rPr>
          <w:rFonts w:hint="eastAsia" w:hAnsi="Cambria Math"/>
          <w:color w:val="auto"/>
          <w:sz w:val="24"/>
        </w:rPr>
      </w:pPr>
      <w:r>
        <w:rPr>
          <w:rFonts w:hint="eastAsia" w:hAnsi="Cambria Math"/>
          <w:color w:val="auto"/>
          <w:sz w:val="28"/>
          <w:szCs w:val="28"/>
        </w:rPr>
        <w:t xml:space="preserve">   </w:t>
      </w:r>
      <m:oMath>
        <m:sSub>
          <m:sSubPr>
            <m:ctrlPr>
              <w:rPr>
                <w:rFonts w:ascii="Cambria Math" w:hAnsi="Cambria Math"/>
                <w:i/>
                <w:color w:val="auto"/>
                <w:sz w:val="28"/>
                <w:szCs w:val="28"/>
              </w:rPr>
            </m:ctrlPr>
          </m:sSubPr>
          <m:e>
            <m:r>
              <m:rPr/>
              <w:rPr>
                <w:rFonts w:ascii="Cambria Math" w:hAnsi="Cambria Math"/>
                <w:color w:val="auto"/>
                <w:sz w:val="28"/>
                <w:szCs w:val="28"/>
              </w:rPr>
              <m:t>f</m:t>
            </m:r>
            <m:ctrlPr>
              <w:rPr>
                <w:rFonts w:ascii="Cambria Math" w:hAnsi="Cambria Math"/>
                <w:i/>
                <w:color w:val="auto"/>
                <w:sz w:val="28"/>
                <w:szCs w:val="28"/>
              </w:rPr>
            </m:ctrlPr>
          </m:e>
          <m:sub>
            <m:r>
              <m:rPr/>
              <w:rPr>
                <w:rFonts w:ascii="Cambria Math" w:hAnsi="Cambria Math"/>
                <w:color w:val="auto"/>
                <w:sz w:val="28"/>
                <w:szCs w:val="28"/>
              </w:rPr>
              <m:t>b</m:t>
            </m:r>
            <m:ctrlPr>
              <w:rPr>
                <w:rFonts w:ascii="Cambria Math" w:hAnsi="Cambria Math"/>
                <w:i/>
                <w:color w:val="auto"/>
                <w:sz w:val="28"/>
                <w:szCs w:val="28"/>
              </w:rPr>
            </m:ctrlPr>
          </m:sub>
        </m:sSub>
        <m:r>
          <m:rPr/>
          <w:rPr>
            <w:rFonts w:ascii="Cambria Math" w:hAnsi="Cambria Math"/>
            <w:color w:val="auto"/>
            <w:sz w:val="28"/>
            <w:szCs w:val="28"/>
          </w:rPr>
          <m:t>=</m:t>
        </m:r>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f</m:t>
            </m:r>
            <m:ctrlPr>
              <w:rPr>
                <w:rFonts w:ascii="Cambria Math" w:hAnsi="Cambria Math"/>
                <w:i/>
                <w:color w:val="auto"/>
                <w:sz w:val="28"/>
                <w:szCs w:val="28"/>
              </w:rPr>
            </m:ctrlPr>
          </m:sub>
        </m:sSub>
        <m:r>
          <m:rPr/>
          <w:rPr>
            <w:rFonts w:ascii="Cambria Math" w:hAnsi="Cambria Math"/>
            <w:color w:val="auto"/>
            <w:sz w:val="28"/>
            <w:szCs w:val="28"/>
          </w:rPr>
          <m:t>.</m:t>
        </m:r>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s</m:t>
            </m:r>
            <m:ctrlPr>
              <w:rPr>
                <w:rFonts w:ascii="Cambria Math" w:hAnsi="Cambria Math"/>
                <w:i/>
                <w:color w:val="auto"/>
                <w:sz w:val="28"/>
                <w:szCs w:val="28"/>
              </w:rPr>
            </m:ctrlPr>
          </m:sub>
        </m:sSub>
        <m:r>
          <m:rPr/>
          <w:rPr>
            <w:rFonts w:ascii="Cambria Math" w:hAnsi="Cambria Math"/>
            <w:color w:val="auto"/>
            <w:sz w:val="28"/>
            <w:szCs w:val="28"/>
          </w:rPr>
          <m:t>.</m:t>
        </m:r>
        <m:sSub>
          <m:sSubPr>
            <m:ctrlPr>
              <w:rPr>
                <w:rFonts w:ascii="Cambria Math" w:hAnsi="Cambria Math"/>
                <w:i/>
                <w:color w:val="auto"/>
                <w:sz w:val="28"/>
                <w:szCs w:val="28"/>
              </w:rPr>
            </m:ctrlPr>
          </m:sSubPr>
          <m:e>
            <m:r>
              <m:rPr/>
              <w:rPr>
                <w:rFonts w:ascii="Cambria Math" w:hAnsi="Cambria Math"/>
                <w:color w:val="auto"/>
                <w:sz w:val="28"/>
                <w:szCs w:val="28"/>
              </w:rPr>
              <m:t>f</m:t>
            </m:r>
            <m:ctrlPr>
              <w:rPr>
                <w:rFonts w:ascii="Cambria Math" w:hAnsi="Cambria Math"/>
                <w:i/>
                <w:color w:val="auto"/>
                <w:sz w:val="28"/>
                <w:szCs w:val="28"/>
              </w:rPr>
            </m:ctrlPr>
          </m:e>
          <m:sub>
            <m:r>
              <m:rPr/>
              <w:rPr>
                <w:rFonts w:ascii="Cambria Math" w:hAnsi="Cambria Math"/>
                <w:color w:val="auto"/>
                <w:sz w:val="28"/>
                <w:szCs w:val="28"/>
              </w:rPr>
              <m:t>ce</m:t>
            </m:r>
            <m:ctrlPr>
              <w:rPr>
                <w:rFonts w:ascii="Cambria Math" w:hAnsi="Cambria Math"/>
                <w:i/>
                <w:color w:val="auto"/>
                <w:sz w:val="28"/>
                <w:szCs w:val="28"/>
              </w:rPr>
            </m:ctrlPr>
          </m:sub>
        </m:sSub>
      </m:oMath>
      <w:r>
        <w:rPr>
          <w:rFonts w:hint="eastAsia" w:hAnsi="Cambria Math"/>
          <w:color w:val="auto"/>
          <w:sz w:val="24"/>
        </w:rPr>
        <w:t xml:space="preserve">        （6.2.3-2）</w:t>
      </w:r>
    </w:p>
    <w:p>
      <w:pPr>
        <w:spacing w:line="360" w:lineRule="auto"/>
        <w:rPr>
          <w:rFonts w:hint="eastAsia" w:hAnsi="Cambria Math"/>
          <w:color w:val="auto"/>
          <w:sz w:val="24"/>
        </w:rPr>
      </w:pPr>
      <w:r>
        <w:rPr>
          <w:rFonts w:hint="eastAsia" w:hAnsi="Cambria Math"/>
          <w:color w:val="auto"/>
          <w:sz w:val="24"/>
        </w:rPr>
        <w:t>式中：</w:t>
      </w:r>
      <m:oMath>
        <m:sSub>
          <m:sSubPr>
            <m:ctrlPr>
              <w:rPr>
                <w:rFonts w:ascii="Cambria Math" w:hAnsi="Cambria Math"/>
                <w:i/>
                <w:color w:val="auto"/>
                <w:sz w:val="24"/>
              </w:rPr>
            </m:ctrlPr>
          </m:sSubPr>
          <m:e>
            <m:r>
              <m:rPr/>
              <w:rPr>
                <w:rFonts w:ascii="Cambria Math" w:hAnsi="Cambria Math"/>
                <w:color w:val="auto"/>
                <w:sz w:val="24"/>
              </w:rPr>
              <m:t>γ</m:t>
            </m:r>
            <m:ctrlPr>
              <w:rPr>
                <w:rFonts w:ascii="Cambria Math" w:hAnsi="Cambria Math"/>
                <w:i/>
                <w:color w:val="auto"/>
                <w:sz w:val="24"/>
              </w:rPr>
            </m:ctrlPr>
          </m:e>
          <m:sub>
            <m:r>
              <m:rPr/>
              <w:rPr>
                <w:rFonts w:ascii="Cambria Math" w:hAnsi="Cambria Math"/>
                <w:color w:val="auto"/>
                <w:sz w:val="24"/>
              </w:rPr>
              <m:t>f</m:t>
            </m:r>
            <m:ctrlPr>
              <w:rPr>
                <w:rFonts w:ascii="Cambria Math" w:hAnsi="Cambria Math"/>
                <w:i/>
                <w:color w:val="auto"/>
                <w:sz w:val="24"/>
              </w:rPr>
            </m:ctrlPr>
          </m:sub>
        </m:sSub>
      </m:oMath>
      <w:r>
        <w:rPr>
          <w:rFonts w:hint="eastAsia" w:hAnsi="Cambria Math"/>
          <w:color w:val="auto"/>
          <w:sz w:val="24"/>
        </w:rPr>
        <w:t xml:space="preserve"> 、</w:t>
      </w:r>
      <m:oMath>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s</m:t>
            </m:r>
            <m:ctrlPr>
              <w:rPr>
                <w:rFonts w:ascii="Cambria Math" w:hAnsi="Cambria Math"/>
                <w:i/>
                <w:color w:val="auto"/>
                <w:sz w:val="28"/>
                <w:szCs w:val="28"/>
              </w:rPr>
            </m:ctrlPr>
          </m:sub>
        </m:sSub>
      </m:oMath>
      <w:r>
        <w:rPr>
          <w:rFonts w:hint="eastAsia" w:hAnsi="Cambria Math"/>
          <w:color w:val="auto"/>
          <w:sz w:val="24"/>
        </w:rPr>
        <w:t xml:space="preserve"> ——粉煤灰、粒化高炉矿渣粉的影响系数，可按表6.2.3-2选用；</w:t>
      </w:r>
    </w:p>
    <w:p>
      <w:pPr>
        <w:spacing w:line="360" w:lineRule="auto"/>
        <w:ind w:firstLine="280" w:firstLineChars="100"/>
        <w:rPr>
          <w:color w:val="auto"/>
          <w:w w:val="105"/>
          <w:sz w:val="24"/>
        </w:rPr>
      </w:pPr>
      <m:oMath>
        <m:sSub>
          <m:sSubPr>
            <m:ctrlPr>
              <w:rPr>
                <w:rFonts w:ascii="Cambria Math" w:hAnsi="Cambria Math"/>
                <w:i/>
                <w:color w:val="auto"/>
                <w:sz w:val="28"/>
                <w:szCs w:val="28"/>
              </w:rPr>
            </m:ctrlPr>
          </m:sSubPr>
          <m:e>
            <m:r>
              <m:rPr/>
              <w:rPr>
                <w:rFonts w:ascii="Cambria Math" w:hAnsi="Cambria Math"/>
                <w:color w:val="auto"/>
                <w:sz w:val="28"/>
                <w:szCs w:val="28"/>
              </w:rPr>
              <m:t>f</m:t>
            </m:r>
            <m:ctrlPr>
              <w:rPr>
                <w:rFonts w:ascii="Cambria Math" w:hAnsi="Cambria Math"/>
                <w:i/>
                <w:color w:val="auto"/>
                <w:sz w:val="28"/>
                <w:szCs w:val="28"/>
              </w:rPr>
            </m:ctrlPr>
          </m:e>
          <m:sub>
            <m:r>
              <m:rPr/>
              <w:rPr>
                <w:rFonts w:ascii="Cambria Math" w:hAnsi="Cambria Math"/>
                <w:color w:val="auto"/>
                <w:sz w:val="28"/>
                <w:szCs w:val="28"/>
              </w:rPr>
              <m:t>ce</m:t>
            </m:r>
            <m:ctrlPr>
              <w:rPr>
                <w:rFonts w:ascii="Cambria Math" w:hAnsi="Cambria Math"/>
                <w:i/>
                <w:color w:val="auto"/>
                <w:sz w:val="28"/>
                <w:szCs w:val="28"/>
              </w:rPr>
            </m:ctrlPr>
          </m:sub>
        </m:sSub>
      </m:oMath>
      <w:r>
        <w:rPr>
          <w:rFonts w:hint="eastAsia" w:hAnsi="Cambria Math"/>
          <w:color w:val="auto"/>
          <w:sz w:val="24"/>
        </w:rPr>
        <w:t>——水泥28d胶砂抗压强度（</w:t>
      </w:r>
      <w:r>
        <w:rPr>
          <w:color w:val="auto"/>
          <w:w w:val="105"/>
          <w:sz w:val="24"/>
        </w:rPr>
        <w:t>MPa</w:t>
      </w:r>
      <w:r>
        <w:rPr>
          <w:rFonts w:hint="eastAsia"/>
          <w:color w:val="auto"/>
          <w:w w:val="105"/>
          <w:sz w:val="24"/>
        </w:rPr>
        <w:t>），可实测，也可按式6.2.3-3计算：</w:t>
      </w:r>
    </w:p>
    <w:p>
      <w:pPr>
        <w:spacing w:line="360" w:lineRule="auto"/>
        <w:ind w:firstLine="2520" w:firstLineChars="900"/>
        <w:rPr>
          <w:rFonts w:hint="eastAsia" w:hAnsi="Cambria Math"/>
          <w:color w:val="auto"/>
          <w:sz w:val="24"/>
        </w:rPr>
      </w:pPr>
      <m:oMath>
        <m:sSub>
          <m:sSubPr>
            <m:ctrlPr>
              <w:rPr>
                <w:rFonts w:ascii="Cambria Math" w:hAnsi="Cambria Math"/>
                <w:i/>
                <w:color w:val="auto"/>
                <w:sz w:val="28"/>
                <w:szCs w:val="28"/>
              </w:rPr>
            </m:ctrlPr>
          </m:sSubPr>
          <m:e>
            <m:r>
              <m:rPr/>
              <w:rPr>
                <w:rFonts w:ascii="Cambria Math" w:hAnsi="Cambria Math"/>
                <w:color w:val="auto"/>
                <w:sz w:val="28"/>
                <w:szCs w:val="28"/>
              </w:rPr>
              <m:t>f</m:t>
            </m:r>
            <m:ctrlPr>
              <w:rPr>
                <w:rFonts w:ascii="Cambria Math" w:hAnsi="Cambria Math"/>
                <w:i/>
                <w:color w:val="auto"/>
                <w:sz w:val="28"/>
                <w:szCs w:val="28"/>
              </w:rPr>
            </m:ctrlPr>
          </m:e>
          <m:sub>
            <m:r>
              <m:rPr/>
              <w:rPr>
                <w:rFonts w:ascii="Cambria Math" w:hAnsi="Cambria Math"/>
                <w:color w:val="auto"/>
                <w:sz w:val="28"/>
                <w:szCs w:val="28"/>
              </w:rPr>
              <m:t>ce</m:t>
            </m:r>
            <m:ctrlPr>
              <w:rPr>
                <w:rFonts w:ascii="Cambria Math" w:hAnsi="Cambria Math"/>
                <w:i/>
                <w:color w:val="auto"/>
                <w:sz w:val="28"/>
                <w:szCs w:val="28"/>
              </w:rPr>
            </m:ctrlPr>
          </m:sub>
        </m:sSub>
      </m:oMath>
      <w:r>
        <w:rPr>
          <w:rFonts w:hint="eastAsia" w:hAnsi="Cambria Math"/>
          <w:color w:val="auto"/>
          <w:sz w:val="28"/>
          <w:szCs w:val="28"/>
        </w:rPr>
        <w:t xml:space="preserve"> </w:t>
      </w:r>
      <m:oMath>
        <m:r>
          <m:rPr/>
          <w:rPr>
            <w:rFonts w:ascii="Cambria Math" w:hAnsi="Cambria Math"/>
            <w:color w:val="auto"/>
            <w:sz w:val="28"/>
            <w:szCs w:val="28"/>
          </w:rPr>
          <m:t>=</m:t>
        </m:r>
      </m:oMath>
      <w:r>
        <w:rPr>
          <w:rFonts w:hint="eastAsia" w:hAnsi="Cambria Math"/>
          <w:color w:val="auto"/>
          <w:sz w:val="28"/>
          <w:szCs w:val="28"/>
        </w:rPr>
        <w:t xml:space="preserve"> </w:t>
      </w:r>
      <m:oMath>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c</m:t>
            </m:r>
            <m:ctrlPr>
              <w:rPr>
                <w:rFonts w:ascii="Cambria Math" w:hAnsi="Cambria Math"/>
                <w:i/>
                <w:color w:val="auto"/>
                <w:sz w:val="28"/>
                <w:szCs w:val="28"/>
              </w:rPr>
            </m:ctrlPr>
          </m:sub>
        </m:sSub>
        <m:r>
          <m:rPr/>
          <w:rPr>
            <w:rFonts w:ascii="Cambria Math" w:hAnsi="Cambria Math"/>
            <w:color w:val="auto"/>
            <w:sz w:val="28"/>
            <w:szCs w:val="28"/>
          </w:rPr>
          <m:t>.</m:t>
        </m:r>
        <m:sSub>
          <m:sSubPr>
            <m:ctrlPr>
              <w:rPr>
                <w:rFonts w:ascii="Cambria Math" w:hAnsi="Cambria Math"/>
                <w:i/>
                <w:color w:val="auto"/>
                <w:sz w:val="28"/>
                <w:szCs w:val="28"/>
              </w:rPr>
            </m:ctrlPr>
          </m:sSubPr>
          <m:e>
            <m:r>
              <m:rPr/>
              <w:rPr>
                <w:rFonts w:ascii="Cambria Math" w:hAnsi="Cambria Math"/>
                <w:color w:val="auto"/>
                <w:sz w:val="28"/>
                <w:szCs w:val="28"/>
              </w:rPr>
              <m:t>f</m:t>
            </m:r>
            <m:ctrlPr>
              <w:rPr>
                <w:rFonts w:ascii="Cambria Math" w:hAnsi="Cambria Math"/>
                <w:i/>
                <w:color w:val="auto"/>
                <w:sz w:val="28"/>
                <w:szCs w:val="28"/>
              </w:rPr>
            </m:ctrlPr>
          </m:e>
          <m:sub>
            <m:r>
              <m:rPr/>
              <w:rPr>
                <w:rFonts w:ascii="Cambria Math" w:hAnsi="Cambria Math"/>
                <w:color w:val="auto"/>
                <w:sz w:val="28"/>
                <w:szCs w:val="28"/>
              </w:rPr>
              <m:t>ce</m:t>
            </m:r>
            <m:r>
              <m:rPr/>
              <w:rPr>
                <w:rFonts w:hint="eastAsia" w:ascii="Cambria Math" w:hAnsi="Cambria Math"/>
                <w:color w:val="auto"/>
                <w:spacing w:val="-20"/>
                <w:w w:val="50"/>
                <w:sz w:val="28"/>
                <w:szCs w:val="28"/>
              </w:rPr>
              <m:t>，</m:t>
            </m:r>
            <m:r>
              <m:rPr/>
              <w:rPr>
                <w:rFonts w:ascii="Cambria Math" w:hAnsi="Cambria Math"/>
                <w:color w:val="auto"/>
                <w:sz w:val="28"/>
                <w:szCs w:val="28"/>
              </w:rPr>
              <m:t>g</m:t>
            </m:r>
            <m:ctrlPr>
              <w:rPr>
                <w:rFonts w:ascii="Cambria Math" w:hAnsi="Cambria Math"/>
                <w:i/>
                <w:color w:val="auto"/>
                <w:sz w:val="28"/>
                <w:szCs w:val="28"/>
              </w:rPr>
            </m:ctrlPr>
          </m:sub>
        </m:sSub>
      </m:oMath>
      <w:r>
        <w:rPr>
          <w:rFonts w:hint="eastAsia" w:hAnsi="Cambria Math"/>
          <w:color w:val="auto"/>
          <w:sz w:val="24"/>
        </w:rPr>
        <w:t xml:space="preserve">          （</w:t>
      </w:r>
      <w:r>
        <w:rPr>
          <w:rFonts w:hint="eastAsia"/>
          <w:color w:val="auto"/>
          <w:w w:val="105"/>
          <w:sz w:val="24"/>
        </w:rPr>
        <w:t>6.2.3-3）</w:t>
      </w:r>
    </w:p>
    <w:p>
      <w:pPr>
        <w:spacing w:line="360" w:lineRule="auto"/>
        <w:rPr>
          <w:rFonts w:hint="eastAsia" w:hAnsi="Cambria Math"/>
          <w:color w:val="auto"/>
          <w:sz w:val="24"/>
        </w:rPr>
      </w:pPr>
      <w:r>
        <w:rPr>
          <w:rFonts w:hint="eastAsia" w:hAnsi="Cambria Math"/>
          <w:color w:val="auto"/>
          <w:sz w:val="24"/>
        </w:rPr>
        <w:t>式中：</w:t>
      </w:r>
      <m:oMath>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c</m:t>
            </m:r>
            <m:ctrlPr>
              <w:rPr>
                <w:rFonts w:ascii="Cambria Math" w:hAnsi="Cambria Math"/>
                <w:i/>
                <w:color w:val="auto"/>
                <w:sz w:val="28"/>
                <w:szCs w:val="28"/>
              </w:rPr>
            </m:ctrlPr>
          </m:sub>
        </m:sSub>
      </m:oMath>
      <w:r>
        <w:rPr>
          <w:rFonts w:hint="eastAsia" w:hAnsi="Cambria Math"/>
          <w:color w:val="auto"/>
          <w:sz w:val="24"/>
        </w:rPr>
        <w:t xml:space="preserve"> ——水泥强度等级值的富余系数，可按实际统计资料确定；无统计资料时可按1. 10取值；</w:t>
      </w:r>
    </w:p>
    <w:p>
      <w:pPr>
        <w:tabs>
          <w:tab w:val="left" w:pos="2979"/>
        </w:tabs>
        <w:spacing w:line="360" w:lineRule="auto"/>
        <w:rPr>
          <w:color w:val="auto"/>
          <w:sz w:val="24"/>
        </w:rPr>
      </w:pPr>
      <m:oMath>
        <m:sSub>
          <m:sSubPr>
            <m:ctrlPr>
              <w:rPr>
                <w:rFonts w:ascii="Cambria Math" w:hAnsi="Cambria Math"/>
                <w:i/>
                <w:color w:val="auto"/>
                <w:sz w:val="28"/>
                <w:szCs w:val="28"/>
              </w:rPr>
            </m:ctrlPr>
          </m:sSubPr>
          <m:e>
            <m:r>
              <m:rPr/>
              <w:rPr>
                <w:rFonts w:ascii="Cambria Math" w:hAnsi="Cambria Math"/>
                <w:color w:val="auto"/>
                <w:sz w:val="28"/>
                <w:szCs w:val="28"/>
              </w:rPr>
              <m:t xml:space="preserve">          f</m:t>
            </m:r>
            <m:ctrlPr>
              <w:rPr>
                <w:rFonts w:ascii="Cambria Math" w:hAnsi="Cambria Math"/>
                <w:i/>
                <w:color w:val="auto"/>
                <w:sz w:val="28"/>
                <w:szCs w:val="28"/>
              </w:rPr>
            </m:ctrlPr>
          </m:e>
          <m:sub>
            <m:r>
              <m:rPr/>
              <w:rPr>
                <w:rFonts w:ascii="Cambria Math" w:hAnsi="Cambria Math"/>
                <w:color w:val="auto"/>
                <w:sz w:val="28"/>
                <w:szCs w:val="28"/>
              </w:rPr>
              <m:t>ce</m:t>
            </m:r>
            <m:r>
              <m:rPr/>
              <w:rPr>
                <w:rFonts w:hint="eastAsia" w:ascii="Cambria Math" w:hAnsi="Cambria Math"/>
                <w:color w:val="auto"/>
                <w:spacing w:val="-20"/>
                <w:w w:val="50"/>
                <w:sz w:val="28"/>
                <w:szCs w:val="28"/>
              </w:rPr>
              <m:t>，</m:t>
            </m:r>
            <m:r>
              <m:rPr/>
              <w:rPr>
                <w:rFonts w:ascii="Cambria Math" w:hAnsi="Cambria Math"/>
                <w:color w:val="auto"/>
                <w:sz w:val="28"/>
                <w:szCs w:val="28"/>
              </w:rPr>
              <m:t>g</m:t>
            </m:r>
            <m:ctrlPr>
              <w:rPr>
                <w:rFonts w:ascii="Cambria Math" w:hAnsi="Cambria Math"/>
                <w:i/>
                <w:color w:val="auto"/>
                <w:sz w:val="28"/>
                <w:szCs w:val="28"/>
              </w:rPr>
            </m:ctrlPr>
          </m:sub>
        </m:sSub>
      </m:oMath>
      <w:r>
        <w:rPr>
          <w:rFonts w:hint="eastAsia" w:hAnsi="Cambria Math"/>
          <w:color w:val="auto"/>
          <w:sz w:val="24"/>
        </w:rPr>
        <w:t>——</w:t>
      </w:r>
      <w:r>
        <w:rPr>
          <w:color w:val="auto"/>
          <w:spacing w:val="5"/>
          <w:sz w:val="24"/>
        </w:rPr>
        <w:t xml:space="preserve">水泥强度等级值 </w:t>
      </w:r>
      <w:r>
        <w:rPr>
          <w:color w:val="auto"/>
          <w:spacing w:val="-10"/>
          <w:sz w:val="24"/>
        </w:rPr>
        <w:t xml:space="preserve">( </w:t>
      </w:r>
      <w:r>
        <w:rPr>
          <w:color w:val="auto"/>
          <w:spacing w:val="14"/>
          <w:sz w:val="24"/>
        </w:rPr>
        <w:t>MPa</w:t>
      </w:r>
      <w:r>
        <w:rPr>
          <w:color w:val="auto"/>
          <w:spacing w:val="2"/>
          <w:sz w:val="24"/>
        </w:rPr>
        <w:t xml:space="preserve"> )</w:t>
      </w:r>
      <w:r>
        <w:rPr>
          <w:color w:val="auto"/>
          <w:sz w:val="24"/>
        </w:rPr>
        <w:t>。</w:t>
      </w:r>
    </w:p>
    <w:p>
      <w:pPr>
        <w:spacing w:line="360" w:lineRule="auto"/>
        <w:ind w:firstLine="221" w:firstLineChars="100"/>
        <w:jc w:val="center"/>
        <w:rPr>
          <w:rFonts w:hint="eastAsia" w:hAnsi="Cambria Math"/>
          <w:b/>
          <w:bCs/>
          <w:color w:val="auto"/>
          <w:sz w:val="22"/>
          <w:szCs w:val="22"/>
        </w:rPr>
      </w:pPr>
      <w:r>
        <w:rPr>
          <w:rFonts w:hAnsi="Cambria Math"/>
          <w:b/>
          <w:bCs/>
          <w:color w:val="auto"/>
          <w:sz w:val="22"/>
          <w:szCs w:val="22"/>
        </w:rPr>
        <w:t xml:space="preserve">表 6. 2. </w:t>
      </w:r>
      <w:r>
        <w:rPr>
          <w:rFonts w:hint="eastAsia" w:hAnsi="Cambria Math"/>
          <w:b/>
          <w:bCs/>
          <w:color w:val="auto"/>
          <w:sz w:val="22"/>
          <w:szCs w:val="22"/>
        </w:rPr>
        <w:t>3</w:t>
      </w:r>
      <w:r>
        <w:rPr>
          <w:rFonts w:hAnsi="Cambria Math"/>
          <w:b/>
          <w:bCs/>
          <w:color w:val="auto"/>
          <w:sz w:val="22"/>
          <w:szCs w:val="22"/>
        </w:rPr>
        <w:t>-2</w:t>
      </w:r>
      <w:r>
        <w:rPr>
          <w:rFonts w:hint="eastAsia" w:hAnsi="Cambria Math"/>
          <w:b/>
          <w:bCs/>
          <w:color w:val="auto"/>
          <w:sz w:val="22"/>
          <w:szCs w:val="22"/>
        </w:rPr>
        <w:t xml:space="preserve"> </w:t>
      </w:r>
      <w:r>
        <w:rPr>
          <w:rFonts w:hAnsi="Cambria Math"/>
          <w:b/>
          <w:bCs/>
          <w:color w:val="auto"/>
          <w:sz w:val="22"/>
          <w:szCs w:val="22"/>
        </w:rPr>
        <w:t xml:space="preserve">粉煤灰影响系数 </w:t>
      </w:r>
      <m:oMath>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f</m:t>
            </m:r>
            <m:ctrlPr>
              <w:rPr>
                <w:rFonts w:ascii="Cambria Math" w:hAnsi="Cambria Math"/>
                <w:i/>
                <w:color w:val="auto"/>
                <w:sz w:val="28"/>
                <w:szCs w:val="28"/>
              </w:rPr>
            </m:ctrlPr>
          </m:sub>
        </m:sSub>
      </m:oMath>
      <w:r>
        <w:rPr>
          <w:rFonts w:hint="eastAsia" w:hAnsi="Cambria Math"/>
          <w:b/>
          <w:bCs/>
          <w:color w:val="auto"/>
          <w:sz w:val="22"/>
          <w:szCs w:val="22"/>
        </w:rPr>
        <w:t xml:space="preserve"> </w:t>
      </w:r>
      <w:r>
        <w:rPr>
          <w:rFonts w:hAnsi="Cambria Math"/>
          <w:b/>
          <w:bCs/>
          <w:color w:val="auto"/>
          <w:sz w:val="22"/>
          <w:szCs w:val="22"/>
        </w:rPr>
        <w:t>和粒化高炉矿渣粉影响系数</w:t>
      </w:r>
      <m:oMath>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s</m:t>
            </m:r>
            <m:ctrlPr>
              <w:rPr>
                <w:rFonts w:ascii="Cambria Math" w:hAnsi="Cambria Math"/>
                <w:i/>
                <w:color w:val="auto"/>
                <w:sz w:val="28"/>
                <w:szCs w:val="28"/>
              </w:rPr>
            </m:ctrlPr>
          </m:sub>
        </m:sSub>
      </m:oMath>
    </w:p>
    <w:tbl>
      <w:tblPr>
        <w:tblStyle w:val="13"/>
        <w:tblW w:w="7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2508"/>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303" w:type="dxa"/>
          </w:tcPr>
          <w:p>
            <w:pPr>
              <w:snapToGrid w:val="0"/>
              <w:spacing w:line="360" w:lineRule="auto"/>
              <w:ind w:firstLine="1100" w:firstLineChars="500"/>
              <w:rPr>
                <w:rFonts w:hint="eastAsia" w:hAnsi="Cambria Math"/>
                <w:color w:val="auto"/>
                <w:sz w:val="22"/>
                <w:szCs w:val="22"/>
              </w:rPr>
            </w:pPr>
            <w:r>
              <w:rPr>
                <w:rFonts w:hint="eastAsia" w:hAnsi="Cambria Math"/>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-1905</wp:posOffset>
                      </wp:positionV>
                      <wp:extent cx="1529715" cy="572135"/>
                      <wp:effectExtent l="1905" t="4445" r="11430" b="13970"/>
                      <wp:wrapNone/>
                      <wp:docPr id="1" name="直接连接符 1"/>
                      <wp:cNvGraphicFramePr/>
                      <a:graphic xmlns:a="http://schemas.openxmlformats.org/drawingml/2006/main">
                        <a:graphicData uri="http://schemas.microsoft.com/office/word/2010/wordprocessingShape">
                          <wps:wsp>
                            <wps:cNvCnPr/>
                            <wps:spPr>
                              <a:xfrm>
                                <a:off x="0" y="0"/>
                                <a:ext cx="1529715" cy="57213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直接连接符 1" o:spid="_x0000_s1026" o:spt="32" type="#_x0000_t32" style="position:absolute;left:0pt;margin-left:-6.95pt;margin-top:-0.15pt;height:45.05pt;width:120.45pt;z-index:251660288;mso-width-relative:page;mso-height-relative:page;" filled="f" stroked="t" coordsize="21600,21600" o:gfxdata="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Z+FqvXAAAACAEAAA8AAAAAAAAAAQAgAAAAIgAAAGRycy9kb3ducmV2&#10;LnhtbFBLAQIUABQAAAAIAIdO4kA5e62B/QEAAPUDAAAOAAAAAAAAAAEAIAAAACYBAABkcnMvZTJv&#10;RG9jLnhtbFBLBQYAAAAABgAGAFkBAACVBQAAAAA=&#10;">
                      <v:fill on="f" focussize="0,0"/>
                      <v:stroke weight="0.25pt" color="#000000" joinstyle="round"/>
                      <v:imagedata o:title=""/>
                      <o:lock v:ext="edit" aspectratio="f"/>
                    </v:shape>
                  </w:pict>
                </mc:Fallback>
              </mc:AlternateContent>
            </w:r>
            <w:r>
              <w:rPr>
                <w:rFonts w:hint="eastAsia" w:hAnsi="Cambria Math"/>
                <w:color w:val="auto"/>
                <w:sz w:val="22"/>
                <w:szCs w:val="22"/>
              </w:rPr>
              <w:t>种类</w:t>
            </w:r>
          </w:p>
          <w:p>
            <w:pPr>
              <w:spacing w:line="360" w:lineRule="auto"/>
              <w:rPr>
                <w:rFonts w:hint="eastAsia" w:hAnsi="Cambria Math"/>
                <w:color w:val="auto"/>
                <w:sz w:val="22"/>
                <w:szCs w:val="22"/>
              </w:rPr>
            </w:pPr>
            <w:r>
              <w:rPr>
                <w:rFonts w:hint="eastAsia" w:hAnsi="Cambria Math"/>
                <w:color w:val="auto"/>
                <w:sz w:val="22"/>
                <w:szCs w:val="22"/>
              </w:rPr>
              <w:t>掺量（%）</w:t>
            </w:r>
          </w:p>
        </w:tc>
        <w:tc>
          <w:tcPr>
            <w:tcW w:w="2508" w:type="dxa"/>
            <w:vAlign w:val="center"/>
          </w:tcPr>
          <w:p>
            <w:pPr>
              <w:spacing w:line="360" w:lineRule="auto"/>
              <w:jc w:val="center"/>
              <w:rPr>
                <w:rFonts w:hint="eastAsia" w:hAnsi="Cambria Math"/>
                <w:color w:val="auto"/>
                <w:sz w:val="22"/>
                <w:szCs w:val="22"/>
              </w:rPr>
            </w:pPr>
            <m:oMathPara>
              <m:oMath>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f</m:t>
                    </m:r>
                    <m:ctrlPr>
                      <w:rPr>
                        <w:rFonts w:ascii="Cambria Math" w:hAnsi="Cambria Math"/>
                        <w:i/>
                        <w:color w:val="auto"/>
                        <w:sz w:val="28"/>
                        <w:szCs w:val="28"/>
                      </w:rPr>
                    </m:ctrlPr>
                  </m:sub>
                </m:sSub>
              </m:oMath>
            </m:oMathPara>
          </w:p>
        </w:tc>
        <w:tc>
          <w:tcPr>
            <w:tcW w:w="2892" w:type="dxa"/>
            <w:vAlign w:val="center"/>
          </w:tcPr>
          <w:p>
            <w:pPr>
              <w:spacing w:line="360" w:lineRule="auto"/>
              <w:jc w:val="center"/>
              <w:rPr>
                <w:rFonts w:hint="eastAsia" w:hAnsi="Cambria Math"/>
                <w:color w:val="auto"/>
                <w:sz w:val="22"/>
                <w:szCs w:val="22"/>
              </w:rPr>
            </w:pPr>
            <m:oMathPara>
              <m:oMath>
                <m:sSub>
                  <m:sSubPr>
                    <m:ctrlPr>
                      <w:rPr>
                        <w:rFonts w:ascii="Cambria Math" w:hAnsi="Cambria Math"/>
                        <w:i/>
                        <w:color w:val="auto"/>
                        <w:sz w:val="28"/>
                        <w:szCs w:val="28"/>
                      </w:rPr>
                    </m:ctrlPr>
                  </m:sSubPr>
                  <m:e>
                    <m:r>
                      <m:rPr/>
                      <w:rPr>
                        <w:rFonts w:ascii="Cambria Math" w:hAnsi="Cambria Math"/>
                        <w:color w:val="auto"/>
                        <w:sz w:val="28"/>
                        <w:szCs w:val="28"/>
                      </w:rPr>
                      <m:t>γ</m:t>
                    </m:r>
                    <m:ctrlPr>
                      <w:rPr>
                        <w:rFonts w:ascii="Cambria Math" w:hAnsi="Cambria Math"/>
                        <w:i/>
                        <w:color w:val="auto"/>
                        <w:sz w:val="28"/>
                        <w:szCs w:val="28"/>
                      </w:rPr>
                    </m:ctrlPr>
                  </m:e>
                  <m:sub>
                    <m:r>
                      <m:rPr/>
                      <w:rPr>
                        <w:rFonts w:ascii="Cambria Math" w:hAnsi="Cambria Math"/>
                        <w:color w:val="auto"/>
                        <w:sz w:val="28"/>
                        <w:szCs w:val="28"/>
                      </w:rPr>
                      <m:t>s</m:t>
                    </m:r>
                    <m:ctrlPr>
                      <w:rPr>
                        <w:rFonts w:ascii="Cambria Math" w:hAnsi="Cambria Math"/>
                        <w:i/>
                        <w:color w:val="auto"/>
                        <w:sz w:val="28"/>
                        <w:szCs w:val="2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03"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w:t>
            </w:r>
          </w:p>
        </w:tc>
        <w:tc>
          <w:tcPr>
            <w:tcW w:w="2508"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1.00</w:t>
            </w:r>
          </w:p>
        </w:tc>
        <w:tc>
          <w:tcPr>
            <w:tcW w:w="289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03"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10</w:t>
            </w:r>
          </w:p>
        </w:tc>
        <w:tc>
          <w:tcPr>
            <w:tcW w:w="2508"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0.85~0.95</w:t>
            </w:r>
          </w:p>
        </w:tc>
        <w:tc>
          <w:tcPr>
            <w:tcW w:w="289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03"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20</w:t>
            </w:r>
          </w:p>
        </w:tc>
        <w:tc>
          <w:tcPr>
            <w:tcW w:w="2508"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0.75~0.85</w:t>
            </w:r>
          </w:p>
        </w:tc>
        <w:tc>
          <w:tcPr>
            <w:tcW w:w="289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03"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30</w:t>
            </w:r>
          </w:p>
        </w:tc>
        <w:tc>
          <w:tcPr>
            <w:tcW w:w="2508"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0.65~0.75</w:t>
            </w:r>
          </w:p>
        </w:tc>
        <w:tc>
          <w:tcPr>
            <w:tcW w:w="289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03"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40</w:t>
            </w:r>
          </w:p>
        </w:tc>
        <w:tc>
          <w:tcPr>
            <w:tcW w:w="2508"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0.55~0.65</w:t>
            </w:r>
          </w:p>
        </w:tc>
        <w:tc>
          <w:tcPr>
            <w:tcW w:w="289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0.80~0.90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303"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50</w:t>
            </w:r>
          </w:p>
        </w:tc>
        <w:tc>
          <w:tcPr>
            <w:tcW w:w="2508"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w:t>
            </w:r>
          </w:p>
        </w:tc>
        <w:tc>
          <w:tcPr>
            <w:tcW w:w="2892" w:type="dxa"/>
            <w:vAlign w:val="center"/>
          </w:tcPr>
          <w:p>
            <w:pPr>
              <w:spacing w:line="360" w:lineRule="auto"/>
              <w:jc w:val="center"/>
              <w:rPr>
                <w:rFonts w:hint="eastAsia" w:hAnsi="Cambria Math"/>
                <w:color w:val="auto"/>
                <w:sz w:val="22"/>
                <w:szCs w:val="22"/>
              </w:rPr>
            </w:pPr>
            <w:r>
              <w:rPr>
                <w:rFonts w:hint="eastAsia" w:hAnsi="Cambria Math"/>
                <w:color w:val="auto"/>
                <w:sz w:val="22"/>
                <w:szCs w:val="22"/>
              </w:rPr>
              <w:t>0.70~0.85</w:t>
            </w:r>
          </w:p>
        </w:tc>
      </w:tr>
    </w:tbl>
    <w:p>
      <w:pPr>
        <w:spacing w:line="360" w:lineRule="auto"/>
        <w:ind w:left="1060" w:leftChars="400" w:hanging="220" w:hangingChars="100"/>
        <w:rPr>
          <w:color w:val="auto"/>
          <w:sz w:val="22"/>
          <w:szCs w:val="22"/>
        </w:rPr>
      </w:pPr>
      <w:r>
        <w:rPr>
          <w:rFonts w:hint="eastAsia" w:hAnsi="Cambria Math"/>
          <w:color w:val="auto"/>
          <w:sz w:val="22"/>
          <w:szCs w:val="22"/>
        </w:rPr>
        <w:t xml:space="preserve">注：1. </w:t>
      </w:r>
      <w:r>
        <w:rPr>
          <w:color w:val="auto"/>
          <w:sz w:val="22"/>
          <w:szCs w:val="22"/>
        </w:rPr>
        <w:t>采用l 级、Il 级粉煤灰宜取上限值；</w:t>
      </w:r>
    </w:p>
    <w:p>
      <w:pPr>
        <w:spacing w:line="360" w:lineRule="auto"/>
        <w:ind w:firstLine="1100" w:firstLineChars="500"/>
        <w:rPr>
          <w:color w:val="auto"/>
          <w:sz w:val="22"/>
          <w:szCs w:val="22"/>
        </w:rPr>
      </w:pPr>
      <w:r>
        <w:rPr>
          <w:color w:val="auto"/>
          <w:sz w:val="22"/>
          <w:szCs w:val="22"/>
        </w:rPr>
        <w:t>2</w:t>
      </w:r>
      <w:r>
        <w:rPr>
          <w:rFonts w:hint="eastAsia"/>
          <w:color w:val="auto"/>
          <w:sz w:val="22"/>
          <w:szCs w:val="22"/>
        </w:rPr>
        <w:t>.</w:t>
      </w:r>
      <w:r>
        <w:rPr>
          <w:color w:val="auto"/>
          <w:sz w:val="22"/>
          <w:szCs w:val="22"/>
        </w:rPr>
        <w:t xml:space="preserve"> 采用 S75 级粒化高炉矿渣粉宜取下限值</w:t>
      </w:r>
      <w:r>
        <w:rPr>
          <w:rFonts w:hint="eastAsia"/>
          <w:color w:val="auto"/>
          <w:sz w:val="22"/>
          <w:szCs w:val="22"/>
        </w:rPr>
        <w:t>；</w:t>
      </w:r>
      <w:r>
        <w:rPr>
          <w:color w:val="auto"/>
          <w:sz w:val="22"/>
          <w:szCs w:val="22"/>
        </w:rPr>
        <w:t>采用 S95 级粒化高炉矿渣粉宜取上限值</w:t>
      </w:r>
      <w:r>
        <w:rPr>
          <w:rFonts w:hint="eastAsia"/>
          <w:color w:val="auto"/>
          <w:sz w:val="22"/>
          <w:szCs w:val="22"/>
        </w:rPr>
        <w:t>；</w:t>
      </w:r>
      <w:r>
        <w:rPr>
          <w:color w:val="auto"/>
          <w:sz w:val="22"/>
          <w:szCs w:val="22"/>
        </w:rPr>
        <w:t>采用 S105 级粒化高炉矿</w:t>
      </w:r>
      <w:r>
        <w:rPr>
          <w:rFonts w:hint="eastAsia"/>
          <w:color w:val="auto"/>
          <w:sz w:val="22"/>
          <w:szCs w:val="22"/>
          <w:lang w:eastAsia="zh-CN"/>
        </w:rPr>
        <w:t>渣</w:t>
      </w:r>
      <w:r>
        <w:rPr>
          <w:color w:val="auto"/>
          <w:sz w:val="22"/>
          <w:szCs w:val="22"/>
        </w:rPr>
        <w:t>粉可取上限值加 0. 05；</w:t>
      </w:r>
    </w:p>
    <w:p>
      <w:pPr>
        <w:spacing w:line="360" w:lineRule="auto"/>
        <w:ind w:firstLine="1100" w:firstLineChars="500"/>
        <w:rPr>
          <w:color w:val="auto"/>
          <w:sz w:val="22"/>
          <w:szCs w:val="22"/>
        </w:rPr>
      </w:pPr>
      <w:r>
        <w:rPr>
          <w:color w:val="auto"/>
          <w:sz w:val="22"/>
          <w:szCs w:val="22"/>
        </w:rPr>
        <w:t>3</w:t>
      </w:r>
      <w:r>
        <w:rPr>
          <w:rFonts w:hint="eastAsia"/>
          <w:color w:val="auto"/>
          <w:sz w:val="22"/>
          <w:szCs w:val="22"/>
        </w:rPr>
        <w:t>.</w:t>
      </w:r>
      <w:r>
        <w:rPr>
          <w:color w:val="auto"/>
          <w:sz w:val="22"/>
          <w:szCs w:val="22"/>
        </w:rPr>
        <w:t xml:space="preserve"> 当超出表中的掺量时，粉煤灰和粒化高炉矿渣粉影响系数应经试验确定。</w:t>
      </w:r>
    </w:p>
    <w:p>
      <w:pPr>
        <w:spacing w:line="360" w:lineRule="auto"/>
        <w:rPr>
          <w:rFonts w:hint="eastAsia" w:hAnsi="Cambria Math"/>
          <w:color w:val="auto"/>
          <w:sz w:val="24"/>
        </w:rPr>
      </w:pPr>
      <w:r>
        <w:rPr>
          <w:rFonts w:hint="eastAsia"/>
          <w:b/>
          <w:color w:val="auto"/>
          <w:sz w:val="24"/>
        </w:rPr>
        <w:t xml:space="preserve">6.2.4  </w:t>
      </w:r>
      <w:r>
        <w:rPr>
          <w:rFonts w:hint="eastAsia" w:hAnsi="Cambria Math"/>
          <w:color w:val="auto"/>
          <w:sz w:val="24"/>
        </w:rPr>
        <w:t>用水量和外加剂用量</w:t>
      </w:r>
    </w:p>
    <w:p>
      <w:pPr>
        <w:spacing w:line="360" w:lineRule="auto"/>
        <w:ind w:firstLine="560"/>
        <w:rPr>
          <w:rFonts w:hint="eastAsia" w:hAnsi="Cambria Math"/>
          <w:color w:val="auto"/>
          <w:sz w:val="24"/>
        </w:rPr>
      </w:pPr>
      <w:r>
        <w:rPr>
          <w:rFonts w:hint="eastAsia" w:hAnsi="Cambria Math"/>
          <w:b/>
          <w:bCs/>
          <w:color w:val="auto"/>
          <w:sz w:val="24"/>
        </w:rPr>
        <w:t>1</w:t>
      </w:r>
      <w:r>
        <w:rPr>
          <w:rFonts w:hint="eastAsia" w:hAnsi="Cambria Math"/>
          <w:color w:val="auto"/>
          <w:sz w:val="24"/>
        </w:rPr>
        <w:t xml:space="preserve"> 用水量</w:t>
      </w:r>
    </w:p>
    <w:p>
      <w:pPr>
        <w:spacing w:line="360" w:lineRule="auto"/>
        <w:ind w:firstLine="560"/>
        <w:rPr>
          <w:rFonts w:hint="eastAsia" w:hAnsi="Cambria Math"/>
          <w:color w:val="auto"/>
          <w:sz w:val="24"/>
        </w:rPr>
      </w:pPr>
      <w:r>
        <w:rPr>
          <w:rFonts w:hint="eastAsia" w:hAnsi="Cambria Math"/>
          <w:color w:val="auto"/>
          <w:sz w:val="24"/>
        </w:rPr>
        <w:t>每立方米塑性混凝土的用水量（m</w:t>
      </w:r>
      <w:r>
        <w:rPr>
          <w:rFonts w:hint="eastAsia" w:hAnsi="Cambria Math"/>
          <w:color w:val="auto"/>
          <w:sz w:val="24"/>
          <w:vertAlign w:val="subscript"/>
        </w:rPr>
        <w:t>wo</w:t>
      </w:r>
      <w:r>
        <w:rPr>
          <w:rFonts w:hint="eastAsia" w:hAnsi="Cambria Math"/>
          <w:color w:val="auto"/>
          <w:sz w:val="24"/>
        </w:rPr>
        <w:t>）应</w:t>
      </w:r>
      <w:r>
        <w:rPr>
          <w:rFonts w:hint="eastAsia" w:hAnsi="Cambria Math"/>
          <w:color w:val="auto"/>
          <w:sz w:val="24"/>
        </w:rPr>
        <w:t>按下列方法确定</w:t>
      </w:r>
      <w:r>
        <w:rPr>
          <w:rFonts w:hint="eastAsia" w:hAnsi="Cambria Math"/>
          <w:color w:val="auto"/>
          <w:sz w:val="24"/>
        </w:rPr>
        <w:t>：</w:t>
      </w:r>
    </w:p>
    <w:p>
      <w:pPr>
        <w:pStyle w:val="26"/>
        <w:spacing w:line="360" w:lineRule="auto"/>
        <w:ind w:firstLine="480"/>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宋体" w:hAnsi="宋体" w:eastAsia="宋体" w:cs="宋体"/>
          <w:color w:val="auto"/>
          <w:sz w:val="24"/>
          <w:szCs w:val="24"/>
        </w:rPr>
        <w:t>混凝土水胶比在</w:t>
      </w:r>
      <w:r>
        <w:rPr>
          <w:rFonts w:ascii="Times New Roman" w:hAnsi="Times New Roman" w:eastAsia="宋体"/>
          <w:color w:val="auto"/>
          <w:sz w:val="24"/>
          <w:szCs w:val="24"/>
        </w:rPr>
        <w:t>0.40~0.80范围时，可按表6.2.4选取。超出范围时可通过试验确定；</w:t>
      </w:r>
    </w:p>
    <w:p>
      <w:pPr>
        <w:pStyle w:val="26"/>
        <w:spacing w:line="360" w:lineRule="auto"/>
        <w:ind w:firstLine="480"/>
        <w:rPr>
          <w:rFonts w:ascii="宋体" w:hAnsi="宋体" w:eastAsia="宋体" w:cs="宋体"/>
          <w:color w:val="auto"/>
          <w:sz w:val="24"/>
          <w:szCs w:val="24"/>
        </w:rPr>
      </w:pPr>
      <w:r>
        <w:rPr>
          <w:rFonts w:ascii="Times New Roman" w:hAnsi="Times New Roman" w:eastAsia="宋体"/>
          <w:color w:val="auto"/>
          <w:sz w:val="24"/>
          <w:szCs w:val="24"/>
        </w:rPr>
        <w:t>2）</w:t>
      </w:r>
      <w:r>
        <w:rPr>
          <w:rFonts w:hint="eastAsia" w:ascii="宋体" w:hAnsi="宋体" w:eastAsia="宋体" w:cs="宋体"/>
          <w:color w:val="auto"/>
          <w:sz w:val="24"/>
          <w:szCs w:val="24"/>
        </w:rPr>
        <w:t>根据施工</w:t>
      </w:r>
      <w:r>
        <w:rPr>
          <w:rFonts w:hint="eastAsia" w:ascii="宋体" w:hAnsi="宋体" w:eastAsia="宋体" w:cs="宋体"/>
          <w:color w:val="auto"/>
          <w:sz w:val="24"/>
          <w:szCs w:val="24"/>
        </w:rPr>
        <w:t>要求的混凝土拌合物坍落度、坍落扩展度、骨料品种和公称最大粒径通过试</w:t>
      </w:r>
      <w:r>
        <w:rPr>
          <w:rFonts w:hint="eastAsia" w:ascii="宋体" w:hAnsi="宋体" w:eastAsia="宋体" w:cs="宋体"/>
          <w:color w:val="auto"/>
          <w:sz w:val="24"/>
          <w:szCs w:val="24"/>
        </w:rPr>
        <w:t>验确定</w:t>
      </w:r>
      <w:r>
        <w:rPr>
          <w:rFonts w:hint="eastAsia" w:ascii="宋体" w:hAnsi="宋体" w:eastAsia="宋体" w:cs="宋体"/>
          <w:color w:val="auto"/>
          <w:sz w:val="24"/>
          <w:szCs w:val="24"/>
        </w:rPr>
        <w:t>。</w:t>
      </w:r>
    </w:p>
    <w:p>
      <w:pPr>
        <w:spacing w:line="360" w:lineRule="auto"/>
        <w:ind w:firstLine="560"/>
        <w:jc w:val="center"/>
        <w:rPr>
          <w:rFonts w:ascii="宋体" w:hAnsi="宋体" w:cs="宋体"/>
          <w:b/>
          <w:bCs/>
          <w:color w:val="auto"/>
          <w:sz w:val="22"/>
          <w:szCs w:val="22"/>
        </w:rPr>
      </w:pPr>
      <w:r>
        <w:rPr>
          <w:rFonts w:hint="eastAsia" w:ascii="宋体" w:hAnsi="宋体" w:cs="宋体"/>
          <w:b/>
          <w:bCs/>
          <w:color w:val="auto"/>
          <w:sz w:val="22"/>
          <w:szCs w:val="22"/>
        </w:rPr>
        <w:t>表</w:t>
      </w:r>
      <w:r>
        <w:rPr>
          <w:b/>
          <w:bCs/>
          <w:color w:val="auto"/>
          <w:sz w:val="22"/>
          <w:szCs w:val="22"/>
        </w:rPr>
        <w:t xml:space="preserve">6.2.4 </w:t>
      </w:r>
      <w:r>
        <w:rPr>
          <w:rFonts w:hint="eastAsia" w:ascii="宋体" w:hAnsi="宋体" w:cs="宋体"/>
          <w:b/>
          <w:bCs/>
          <w:color w:val="auto"/>
          <w:sz w:val="22"/>
          <w:szCs w:val="22"/>
        </w:rPr>
        <w:t xml:space="preserve"> 特细砂混凝土用水量（</w:t>
      </w:r>
      <w:r>
        <w:rPr>
          <w:b/>
          <w:bCs/>
          <w:color w:val="auto"/>
          <w:sz w:val="22"/>
          <w:szCs w:val="22"/>
        </w:rPr>
        <w:t>kg/m</w:t>
      </w:r>
      <w:r>
        <w:rPr>
          <w:b/>
          <w:bCs/>
          <w:color w:val="auto"/>
          <w:sz w:val="22"/>
          <w:szCs w:val="22"/>
          <w:vertAlign w:val="superscript"/>
        </w:rPr>
        <w:t>3</w:t>
      </w:r>
      <w:r>
        <w:rPr>
          <w:rFonts w:hint="eastAsia" w:ascii="宋体" w:hAnsi="宋体" w:cs="宋体"/>
          <w:b/>
          <w:bCs/>
          <w:color w:val="auto"/>
          <w:sz w:val="22"/>
          <w:szCs w:val="22"/>
        </w:rPr>
        <w:t>）</w:t>
      </w:r>
    </w:p>
    <w:tbl>
      <w:tblPr>
        <w:tblStyle w:val="13"/>
        <w:tblW w:w="47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313"/>
        <w:gridCol w:w="1684"/>
        <w:gridCol w:w="168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63" w:type="pct"/>
            <w:gridSpan w:val="2"/>
            <w:vAlign w:val="center"/>
          </w:tcPr>
          <w:p>
            <w:pPr>
              <w:spacing w:line="360" w:lineRule="auto"/>
              <w:jc w:val="center"/>
              <w:rPr>
                <w:color w:val="auto"/>
                <w:sz w:val="22"/>
                <w:szCs w:val="22"/>
              </w:rPr>
            </w:pPr>
            <w:r>
              <w:rPr>
                <w:color w:val="auto"/>
                <w:sz w:val="22"/>
                <w:szCs w:val="22"/>
              </w:rPr>
              <w:t>拌合物稠度</w:t>
            </w:r>
          </w:p>
        </w:tc>
        <w:tc>
          <w:tcPr>
            <w:tcW w:w="3137" w:type="pct"/>
            <w:gridSpan w:val="3"/>
            <w:vAlign w:val="center"/>
          </w:tcPr>
          <w:p>
            <w:pPr>
              <w:spacing w:line="360" w:lineRule="auto"/>
              <w:jc w:val="center"/>
              <w:rPr>
                <w:color w:val="auto"/>
                <w:sz w:val="22"/>
                <w:szCs w:val="22"/>
              </w:rPr>
            </w:pPr>
            <w:r>
              <w:rPr>
                <w:color w:val="auto"/>
                <w:sz w:val="22"/>
                <w:szCs w:val="22"/>
              </w:rPr>
              <w:t>碎石最大粒径（mm）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8" w:type="pct"/>
            <w:vAlign w:val="center"/>
          </w:tcPr>
          <w:p>
            <w:pPr>
              <w:spacing w:line="360" w:lineRule="auto"/>
              <w:jc w:val="center"/>
              <w:rPr>
                <w:color w:val="auto"/>
                <w:sz w:val="22"/>
                <w:szCs w:val="22"/>
              </w:rPr>
            </w:pPr>
            <w:r>
              <w:rPr>
                <w:color w:val="auto"/>
                <w:sz w:val="22"/>
                <w:szCs w:val="22"/>
              </w:rPr>
              <w:t>项目</w:t>
            </w:r>
          </w:p>
        </w:tc>
        <w:tc>
          <w:tcPr>
            <w:tcW w:w="815" w:type="pct"/>
            <w:vAlign w:val="center"/>
          </w:tcPr>
          <w:p>
            <w:pPr>
              <w:spacing w:line="360" w:lineRule="auto"/>
              <w:jc w:val="center"/>
              <w:rPr>
                <w:color w:val="auto"/>
                <w:sz w:val="22"/>
                <w:szCs w:val="22"/>
              </w:rPr>
            </w:pPr>
            <w:r>
              <w:rPr>
                <w:color w:val="auto"/>
                <w:sz w:val="22"/>
                <w:szCs w:val="22"/>
              </w:rPr>
              <w:t>指标</w:t>
            </w:r>
          </w:p>
        </w:tc>
        <w:tc>
          <w:tcPr>
            <w:tcW w:w="1045" w:type="pct"/>
            <w:vAlign w:val="center"/>
          </w:tcPr>
          <w:p>
            <w:pPr>
              <w:spacing w:line="360" w:lineRule="auto"/>
              <w:jc w:val="center"/>
              <w:rPr>
                <w:color w:val="auto"/>
                <w:sz w:val="22"/>
                <w:szCs w:val="22"/>
              </w:rPr>
            </w:pPr>
            <w:r>
              <w:rPr>
                <w:color w:val="auto"/>
                <w:sz w:val="22"/>
                <w:szCs w:val="22"/>
              </w:rPr>
              <w:t>1</w:t>
            </w:r>
            <w:r>
              <w:rPr>
                <w:rFonts w:hint="eastAsia"/>
                <w:color w:val="auto"/>
                <w:sz w:val="22"/>
                <w:szCs w:val="22"/>
              </w:rPr>
              <w:t>0</w:t>
            </w:r>
            <w:r>
              <w:rPr>
                <w:color w:val="auto"/>
                <w:sz w:val="22"/>
                <w:szCs w:val="22"/>
              </w:rPr>
              <w:t>.0</w:t>
            </w:r>
          </w:p>
        </w:tc>
        <w:tc>
          <w:tcPr>
            <w:tcW w:w="1046" w:type="pct"/>
            <w:vAlign w:val="center"/>
          </w:tcPr>
          <w:p>
            <w:pPr>
              <w:spacing w:line="360" w:lineRule="auto"/>
              <w:jc w:val="center"/>
              <w:rPr>
                <w:color w:val="auto"/>
                <w:sz w:val="22"/>
                <w:szCs w:val="22"/>
              </w:rPr>
            </w:pPr>
            <w:r>
              <w:rPr>
                <w:color w:val="auto"/>
                <w:sz w:val="22"/>
                <w:szCs w:val="22"/>
              </w:rPr>
              <w:t>20.0</w:t>
            </w:r>
          </w:p>
        </w:tc>
        <w:tc>
          <w:tcPr>
            <w:tcW w:w="1046" w:type="pct"/>
            <w:vAlign w:val="center"/>
          </w:tcPr>
          <w:p>
            <w:pPr>
              <w:spacing w:line="360" w:lineRule="auto"/>
              <w:jc w:val="center"/>
              <w:rPr>
                <w:color w:val="auto"/>
                <w:sz w:val="22"/>
                <w:szCs w:val="22"/>
              </w:rPr>
            </w:pPr>
            <w:r>
              <w:rPr>
                <w:color w:val="auto"/>
                <w:sz w:val="22"/>
                <w:szCs w:val="22"/>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048" w:type="pct"/>
            <w:vMerge w:val="restart"/>
            <w:vAlign w:val="center"/>
          </w:tcPr>
          <w:p>
            <w:pPr>
              <w:spacing w:line="360" w:lineRule="auto"/>
              <w:jc w:val="center"/>
              <w:rPr>
                <w:color w:val="auto"/>
                <w:sz w:val="22"/>
                <w:szCs w:val="22"/>
              </w:rPr>
            </w:pPr>
            <w:r>
              <w:rPr>
                <w:color w:val="auto"/>
                <w:sz w:val="22"/>
                <w:szCs w:val="22"/>
              </w:rPr>
              <w:t>坍落度</w:t>
            </w:r>
          </w:p>
          <w:p>
            <w:pPr>
              <w:spacing w:line="360" w:lineRule="auto"/>
              <w:jc w:val="center"/>
              <w:rPr>
                <w:color w:val="auto"/>
                <w:sz w:val="22"/>
                <w:szCs w:val="22"/>
              </w:rPr>
            </w:pPr>
            <w:r>
              <w:rPr>
                <w:color w:val="auto"/>
                <w:sz w:val="22"/>
                <w:szCs w:val="22"/>
              </w:rPr>
              <w:t>（mm）</w:t>
            </w:r>
          </w:p>
        </w:tc>
        <w:tc>
          <w:tcPr>
            <w:tcW w:w="815" w:type="pct"/>
            <w:vAlign w:val="center"/>
          </w:tcPr>
          <w:p>
            <w:pPr>
              <w:spacing w:line="360" w:lineRule="auto"/>
              <w:jc w:val="center"/>
              <w:rPr>
                <w:color w:val="auto"/>
                <w:sz w:val="22"/>
                <w:szCs w:val="22"/>
              </w:rPr>
            </w:pPr>
            <w:r>
              <w:rPr>
                <w:color w:val="auto"/>
                <w:sz w:val="22"/>
                <w:szCs w:val="22"/>
              </w:rPr>
              <w:t>10~30</w:t>
            </w:r>
          </w:p>
        </w:tc>
        <w:tc>
          <w:tcPr>
            <w:tcW w:w="1045" w:type="pct"/>
            <w:vAlign w:val="center"/>
          </w:tcPr>
          <w:p>
            <w:pPr>
              <w:spacing w:line="360" w:lineRule="auto"/>
              <w:jc w:val="center"/>
              <w:rPr>
                <w:color w:val="auto"/>
                <w:sz w:val="22"/>
                <w:szCs w:val="22"/>
              </w:rPr>
            </w:pPr>
            <w:r>
              <w:rPr>
                <w:color w:val="auto"/>
                <w:sz w:val="22"/>
                <w:szCs w:val="22"/>
              </w:rPr>
              <w:t>190~200</w:t>
            </w:r>
          </w:p>
        </w:tc>
        <w:tc>
          <w:tcPr>
            <w:tcW w:w="1046" w:type="pct"/>
            <w:vAlign w:val="center"/>
          </w:tcPr>
          <w:p>
            <w:pPr>
              <w:spacing w:line="360" w:lineRule="auto"/>
              <w:jc w:val="center"/>
              <w:rPr>
                <w:color w:val="auto"/>
                <w:sz w:val="22"/>
                <w:szCs w:val="22"/>
              </w:rPr>
            </w:pPr>
            <w:r>
              <w:rPr>
                <w:color w:val="auto"/>
                <w:sz w:val="22"/>
                <w:szCs w:val="22"/>
              </w:rPr>
              <w:t>185~190</w:t>
            </w:r>
          </w:p>
        </w:tc>
        <w:tc>
          <w:tcPr>
            <w:tcW w:w="1046" w:type="pct"/>
            <w:vAlign w:val="center"/>
          </w:tcPr>
          <w:p>
            <w:pPr>
              <w:spacing w:line="360" w:lineRule="auto"/>
              <w:jc w:val="center"/>
              <w:rPr>
                <w:color w:val="auto"/>
                <w:sz w:val="22"/>
                <w:szCs w:val="22"/>
              </w:rPr>
            </w:pPr>
            <w:r>
              <w:rPr>
                <w:color w:val="auto"/>
                <w:sz w:val="22"/>
                <w:szCs w:val="22"/>
              </w:rPr>
              <w:t>180~185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48" w:type="pct"/>
            <w:vMerge w:val="continue"/>
            <w:vAlign w:val="center"/>
          </w:tcPr>
          <w:p>
            <w:pPr>
              <w:spacing w:line="360" w:lineRule="auto"/>
              <w:jc w:val="center"/>
              <w:rPr>
                <w:color w:val="auto"/>
                <w:sz w:val="22"/>
                <w:szCs w:val="22"/>
              </w:rPr>
            </w:pPr>
          </w:p>
        </w:tc>
        <w:tc>
          <w:tcPr>
            <w:tcW w:w="815" w:type="pct"/>
            <w:vAlign w:val="center"/>
          </w:tcPr>
          <w:p>
            <w:pPr>
              <w:spacing w:line="360" w:lineRule="auto"/>
              <w:jc w:val="center"/>
              <w:rPr>
                <w:color w:val="auto"/>
                <w:sz w:val="22"/>
                <w:szCs w:val="22"/>
              </w:rPr>
            </w:pPr>
            <w:r>
              <w:rPr>
                <w:color w:val="auto"/>
                <w:sz w:val="22"/>
                <w:szCs w:val="22"/>
              </w:rPr>
              <w:t>35~50</w:t>
            </w:r>
          </w:p>
        </w:tc>
        <w:tc>
          <w:tcPr>
            <w:tcW w:w="1045" w:type="pct"/>
            <w:vAlign w:val="center"/>
          </w:tcPr>
          <w:p>
            <w:pPr>
              <w:spacing w:line="360" w:lineRule="auto"/>
              <w:jc w:val="center"/>
              <w:rPr>
                <w:color w:val="auto"/>
                <w:sz w:val="22"/>
                <w:szCs w:val="22"/>
              </w:rPr>
            </w:pPr>
            <w:r>
              <w:rPr>
                <w:color w:val="auto"/>
                <w:sz w:val="22"/>
                <w:szCs w:val="22"/>
              </w:rPr>
              <w:t>200~210</w:t>
            </w:r>
          </w:p>
        </w:tc>
        <w:tc>
          <w:tcPr>
            <w:tcW w:w="1046" w:type="pct"/>
            <w:vAlign w:val="center"/>
          </w:tcPr>
          <w:p>
            <w:pPr>
              <w:spacing w:line="360" w:lineRule="auto"/>
              <w:jc w:val="center"/>
              <w:rPr>
                <w:color w:val="auto"/>
                <w:sz w:val="22"/>
                <w:szCs w:val="22"/>
              </w:rPr>
            </w:pPr>
            <w:r>
              <w:rPr>
                <w:color w:val="auto"/>
                <w:sz w:val="22"/>
                <w:szCs w:val="22"/>
              </w:rPr>
              <w:t>195~200</w:t>
            </w:r>
          </w:p>
        </w:tc>
        <w:tc>
          <w:tcPr>
            <w:tcW w:w="1046" w:type="pct"/>
            <w:vAlign w:val="center"/>
          </w:tcPr>
          <w:p>
            <w:pPr>
              <w:spacing w:line="360" w:lineRule="auto"/>
              <w:jc w:val="center"/>
              <w:rPr>
                <w:color w:val="auto"/>
                <w:sz w:val="22"/>
                <w:szCs w:val="22"/>
              </w:rPr>
            </w:pPr>
            <w:r>
              <w:rPr>
                <w:color w:val="auto"/>
                <w:sz w:val="22"/>
                <w:szCs w:val="22"/>
              </w:rPr>
              <w:t>190~195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48" w:type="pct"/>
            <w:vMerge w:val="continue"/>
            <w:vAlign w:val="center"/>
          </w:tcPr>
          <w:p>
            <w:pPr>
              <w:spacing w:line="360" w:lineRule="auto"/>
              <w:jc w:val="center"/>
              <w:rPr>
                <w:color w:val="auto"/>
                <w:sz w:val="22"/>
                <w:szCs w:val="22"/>
              </w:rPr>
            </w:pPr>
          </w:p>
        </w:tc>
        <w:tc>
          <w:tcPr>
            <w:tcW w:w="815" w:type="pct"/>
            <w:vAlign w:val="center"/>
          </w:tcPr>
          <w:p>
            <w:pPr>
              <w:spacing w:line="360" w:lineRule="auto"/>
              <w:jc w:val="center"/>
              <w:rPr>
                <w:color w:val="auto"/>
                <w:sz w:val="22"/>
                <w:szCs w:val="22"/>
              </w:rPr>
            </w:pPr>
            <w:r>
              <w:rPr>
                <w:color w:val="auto"/>
                <w:sz w:val="22"/>
                <w:szCs w:val="22"/>
              </w:rPr>
              <w:t>55~70</w:t>
            </w:r>
          </w:p>
        </w:tc>
        <w:tc>
          <w:tcPr>
            <w:tcW w:w="1045" w:type="pct"/>
            <w:vAlign w:val="center"/>
          </w:tcPr>
          <w:p>
            <w:pPr>
              <w:spacing w:line="360" w:lineRule="auto"/>
              <w:jc w:val="center"/>
              <w:rPr>
                <w:color w:val="auto"/>
                <w:sz w:val="22"/>
                <w:szCs w:val="22"/>
              </w:rPr>
            </w:pPr>
            <w:r>
              <w:rPr>
                <w:color w:val="auto"/>
                <w:sz w:val="22"/>
                <w:szCs w:val="22"/>
              </w:rPr>
              <w:t>210~220</w:t>
            </w:r>
          </w:p>
        </w:tc>
        <w:tc>
          <w:tcPr>
            <w:tcW w:w="1046" w:type="pct"/>
            <w:vAlign w:val="center"/>
          </w:tcPr>
          <w:p>
            <w:pPr>
              <w:spacing w:line="360" w:lineRule="auto"/>
              <w:jc w:val="center"/>
              <w:rPr>
                <w:color w:val="auto"/>
                <w:sz w:val="22"/>
                <w:szCs w:val="22"/>
              </w:rPr>
            </w:pPr>
            <w:r>
              <w:rPr>
                <w:color w:val="auto"/>
                <w:sz w:val="22"/>
                <w:szCs w:val="22"/>
              </w:rPr>
              <w:t>205~215</w:t>
            </w:r>
          </w:p>
        </w:tc>
        <w:tc>
          <w:tcPr>
            <w:tcW w:w="1046" w:type="pct"/>
            <w:vAlign w:val="center"/>
          </w:tcPr>
          <w:p>
            <w:pPr>
              <w:spacing w:line="360" w:lineRule="auto"/>
              <w:jc w:val="center"/>
              <w:rPr>
                <w:color w:val="auto"/>
                <w:sz w:val="22"/>
                <w:szCs w:val="22"/>
              </w:rPr>
            </w:pPr>
            <w:r>
              <w:rPr>
                <w:color w:val="auto"/>
                <w:sz w:val="22"/>
                <w:szCs w:val="22"/>
              </w:rPr>
              <w:t>200~210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48" w:type="pct"/>
            <w:vMerge w:val="continue"/>
            <w:vAlign w:val="center"/>
          </w:tcPr>
          <w:p>
            <w:pPr>
              <w:spacing w:line="360" w:lineRule="auto"/>
              <w:jc w:val="center"/>
              <w:rPr>
                <w:color w:val="auto"/>
                <w:sz w:val="22"/>
                <w:szCs w:val="22"/>
              </w:rPr>
            </w:pPr>
          </w:p>
        </w:tc>
        <w:tc>
          <w:tcPr>
            <w:tcW w:w="815" w:type="pct"/>
            <w:vAlign w:val="center"/>
          </w:tcPr>
          <w:p>
            <w:pPr>
              <w:spacing w:line="360" w:lineRule="auto"/>
              <w:jc w:val="center"/>
              <w:rPr>
                <w:color w:val="auto"/>
                <w:sz w:val="22"/>
                <w:szCs w:val="22"/>
              </w:rPr>
            </w:pPr>
            <w:r>
              <w:rPr>
                <w:color w:val="auto"/>
                <w:sz w:val="22"/>
                <w:szCs w:val="22"/>
              </w:rPr>
              <w:t>75~90</w:t>
            </w:r>
          </w:p>
        </w:tc>
        <w:tc>
          <w:tcPr>
            <w:tcW w:w="1045" w:type="pct"/>
            <w:vAlign w:val="center"/>
          </w:tcPr>
          <w:p>
            <w:pPr>
              <w:spacing w:line="360" w:lineRule="auto"/>
              <w:jc w:val="center"/>
              <w:rPr>
                <w:color w:val="auto"/>
                <w:sz w:val="22"/>
                <w:szCs w:val="22"/>
              </w:rPr>
            </w:pPr>
            <w:r>
              <w:rPr>
                <w:color w:val="auto"/>
                <w:sz w:val="22"/>
                <w:szCs w:val="22"/>
              </w:rPr>
              <w:t>220~230</w:t>
            </w:r>
          </w:p>
        </w:tc>
        <w:tc>
          <w:tcPr>
            <w:tcW w:w="1046" w:type="pct"/>
            <w:vAlign w:val="center"/>
          </w:tcPr>
          <w:p>
            <w:pPr>
              <w:spacing w:line="360" w:lineRule="auto"/>
              <w:jc w:val="center"/>
              <w:rPr>
                <w:color w:val="auto"/>
                <w:sz w:val="22"/>
                <w:szCs w:val="22"/>
              </w:rPr>
            </w:pPr>
            <w:r>
              <w:rPr>
                <w:color w:val="auto"/>
                <w:sz w:val="22"/>
                <w:szCs w:val="22"/>
              </w:rPr>
              <w:t>215~225</w:t>
            </w:r>
          </w:p>
        </w:tc>
        <w:tc>
          <w:tcPr>
            <w:tcW w:w="1046" w:type="pct"/>
            <w:vAlign w:val="center"/>
          </w:tcPr>
          <w:p>
            <w:pPr>
              <w:spacing w:line="360" w:lineRule="auto"/>
              <w:jc w:val="center"/>
              <w:rPr>
                <w:color w:val="auto"/>
                <w:sz w:val="22"/>
                <w:szCs w:val="22"/>
              </w:rPr>
            </w:pPr>
            <w:r>
              <w:rPr>
                <w:color w:val="auto"/>
                <w:sz w:val="22"/>
                <w:szCs w:val="22"/>
              </w:rPr>
              <w:t>210~220</w:t>
            </w:r>
          </w:p>
        </w:tc>
      </w:tr>
    </w:tbl>
    <w:p>
      <w:pPr>
        <w:spacing w:line="360" w:lineRule="auto"/>
        <w:ind w:firstLine="220" w:firstLineChars="100"/>
        <w:rPr>
          <w:color w:val="auto"/>
          <w:sz w:val="22"/>
          <w:szCs w:val="22"/>
        </w:rPr>
      </w:pPr>
      <w:r>
        <w:rPr>
          <w:rFonts w:hint="eastAsia" w:ascii="宋体" w:hAnsi="宋体" w:cs="宋体"/>
          <w:color w:val="auto"/>
          <w:sz w:val="22"/>
          <w:szCs w:val="22"/>
        </w:rPr>
        <w:t>注：</w:t>
      </w:r>
      <w:r>
        <w:rPr>
          <w:color w:val="auto"/>
          <w:sz w:val="22"/>
          <w:szCs w:val="22"/>
        </w:rPr>
        <w:t>1.表中所列数据是细度模数为0.80~1.00的特细砂配制塑性混凝土的用水量，当特细砂细度模数小于0.80时，用水量取上限值；当特细砂细度模数大于1.00时，用水量取下限值。</w:t>
      </w:r>
    </w:p>
    <w:p>
      <w:pPr>
        <w:spacing w:line="360" w:lineRule="auto"/>
        <w:ind w:firstLine="594" w:firstLineChars="270"/>
        <w:rPr>
          <w:rFonts w:hint="eastAsia" w:hAnsi="Cambria Math"/>
          <w:color w:val="auto"/>
          <w:sz w:val="24"/>
        </w:rPr>
      </w:pPr>
      <w:r>
        <w:rPr>
          <w:color w:val="auto"/>
          <w:sz w:val="22"/>
          <w:szCs w:val="22"/>
        </w:rPr>
        <w:t>2</w:t>
      </w:r>
      <w:r>
        <w:rPr>
          <w:rFonts w:hint="eastAsia"/>
          <w:color w:val="auto"/>
          <w:sz w:val="22"/>
          <w:szCs w:val="22"/>
        </w:rPr>
        <w:t>.</w:t>
      </w:r>
      <w:r>
        <w:rPr>
          <w:color w:val="auto"/>
          <w:sz w:val="22"/>
          <w:szCs w:val="22"/>
        </w:rPr>
        <w:t>掺用</w:t>
      </w:r>
      <w:r>
        <w:rPr>
          <w:rFonts w:hint="eastAsia" w:ascii="宋体" w:hAnsi="宋体" w:cs="宋体"/>
          <w:color w:val="auto"/>
          <w:sz w:val="22"/>
          <w:szCs w:val="22"/>
        </w:rPr>
        <w:t>矿物掺合料和外加剂时，用水量应相应调整。</w:t>
      </w:r>
    </w:p>
    <w:p>
      <w:pPr>
        <w:spacing w:before="156" w:beforeLines="50" w:line="360" w:lineRule="auto"/>
        <w:ind w:firstLine="561"/>
        <w:rPr>
          <w:rFonts w:hint="eastAsia" w:hAnsi="Cambria Math"/>
          <w:color w:val="auto"/>
          <w:sz w:val="24"/>
        </w:rPr>
      </w:pPr>
      <w:r>
        <w:rPr>
          <w:rFonts w:hint="eastAsia" w:hAnsi="Cambria Math"/>
          <w:b/>
          <w:bCs/>
          <w:color w:val="auto"/>
          <w:sz w:val="24"/>
        </w:rPr>
        <w:t>2</w:t>
      </w:r>
      <w:r>
        <w:rPr>
          <w:rFonts w:hint="eastAsia" w:hAnsi="Cambria Math"/>
          <w:color w:val="auto"/>
          <w:sz w:val="24"/>
        </w:rPr>
        <w:t xml:space="preserve"> 外加剂</w:t>
      </w:r>
    </w:p>
    <w:p>
      <w:pPr>
        <w:pStyle w:val="26"/>
        <w:spacing w:line="360" w:lineRule="auto"/>
        <w:ind w:left="560" w:firstLine="0" w:firstLineChars="0"/>
        <w:rPr>
          <w:rFonts w:ascii="Times New Roman" w:hAnsi="Times New Roman" w:eastAsia="宋体"/>
          <w:color w:val="auto"/>
          <w:sz w:val="24"/>
          <w:szCs w:val="24"/>
        </w:rPr>
      </w:pPr>
      <w:r>
        <w:rPr>
          <w:rFonts w:hint="eastAsia" w:ascii="Times New Roman" w:hAnsi="Times New Roman" w:eastAsia="宋体"/>
          <w:color w:val="auto"/>
          <w:sz w:val="24"/>
          <w:szCs w:val="24"/>
        </w:rPr>
        <w:t>1）</w:t>
      </w:r>
      <w:r>
        <w:rPr>
          <w:rFonts w:ascii="Times New Roman" w:hAnsi="Times New Roman" w:eastAsia="宋体"/>
          <w:color w:val="auto"/>
          <w:sz w:val="24"/>
          <w:szCs w:val="24"/>
        </w:rPr>
        <w:t>掺外加剂时，每立方米</w:t>
      </w:r>
      <w:r>
        <w:rPr>
          <w:rFonts w:hint="eastAsia" w:ascii="Times New Roman" w:hAnsi="Times New Roman" w:eastAsia="宋体"/>
          <w:color w:val="auto"/>
          <w:sz w:val="24"/>
          <w:szCs w:val="24"/>
          <w:lang w:eastAsia="zh-CN"/>
        </w:rPr>
        <w:t>塑</w:t>
      </w:r>
      <w:r>
        <w:rPr>
          <w:rFonts w:ascii="Times New Roman" w:hAnsi="Times New Roman" w:eastAsia="宋体"/>
          <w:color w:val="auto"/>
          <w:sz w:val="24"/>
          <w:szCs w:val="24"/>
        </w:rPr>
        <w:t>性混凝土的用水量</w:t>
      </w:r>
      <w:r>
        <w:rPr>
          <w:rFonts w:hint="eastAsia" w:ascii="Times New Roman" w:hAnsi="Times New Roman" w:eastAsia="宋体"/>
          <w:color w:val="auto"/>
          <w:sz w:val="24"/>
          <w:szCs w:val="24"/>
        </w:rPr>
        <w:t>（</w:t>
      </w:r>
      <w:r>
        <w:rPr>
          <w:rFonts w:ascii="Times New Roman" w:hAnsi="Times New Roman" w:eastAsia="宋体"/>
          <w:color w:val="auto"/>
          <w:sz w:val="24"/>
          <w:szCs w:val="24"/>
        </w:rPr>
        <w:t>m</w:t>
      </w:r>
      <w:r>
        <w:rPr>
          <w:rFonts w:ascii="Times New Roman" w:hAnsi="Times New Roman" w:eastAsia="宋体"/>
          <w:color w:val="auto"/>
          <w:sz w:val="24"/>
          <w:szCs w:val="24"/>
          <w:vertAlign w:val="subscript"/>
        </w:rPr>
        <w:t>wo</w:t>
      </w:r>
      <w:r>
        <w:rPr>
          <w:rFonts w:hint="eastAsia" w:ascii="Times New Roman" w:hAnsi="Times New Roman" w:eastAsia="宋体"/>
          <w:color w:val="auto"/>
          <w:sz w:val="24"/>
          <w:szCs w:val="24"/>
        </w:rPr>
        <w:t>）</w:t>
      </w:r>
      <w:r>
        <w:rPr>
          <w:rFonts w:ascii="Times New Roman" w:hAnsi="Times New Roman" w:eastAsia="宋体"/>
          <w:color w:val="auto"/>
          <w:sz w:val="24"/>
          <w:szCs w:val="24"/>
        </w:rPr>
        <w:t>可按下式计算：</w:t>
      </w:r>
    </w:p>
    <w:p>
      <w:pPr>
        <w:pStyle w:val="26"/>
        <w:spacing w:line="360" w:lineRule="auto"/>
        <w:ind w:left="560" w:firstLine="0" w:firstLineChars="0"/>
        <w:jc w:val="center"/>
        <w:rPr>
          <w:rFonts w:ascii="Times New Roman" w:hAnsi="Times New Roman" w:eastAsia="宋体"/>
          <w:color w:val="auto"/>
          <w:sz w:val="24"/>
          <w:szCs w:val="24"/>
        </w:rPr>
      </w:pPr>
      <w:r>
        <w:rPr>
          <w:rFonts w:ascii="Times New Roman" w:hAnsi="Times New Roman" w:eastAsia="宋体"/>
          <w:color w:val="auto"/>
          <w:sz w:val="24"/>
          <w:szCs w:val="24"/>
        </w:rPr>
        <w:t>m</w:t>
      </w:r>
      <w:r>
        <w:rPr>
          <w:rFonts w:ascii="Times New Roman" w:hAnsi="Times New Roman" w:eastAsia="宋体"/>
          <w:color w:val="auto"/>
          <w:sz w:val="24"/>
          <w:szCs w:val="24"/>
          <w:vertAlign w:val="subscript"/>
        </w:rPr>
        <w:t>wo</w:t>
      </w:r>
      <w:r>
        <w:rPr>
          <w:rFonts w:ascii="Times New Roman" w:hAnsi="Times New Roman" w:eastAsia="宋体"/>
          <w:color w:val="auto"/>
          <w:sz w:val="24"/>
          <w:szCs w:val="24"/>
        </w:rPr>
        <w:t>= m’</w:t>
      </w:r>
      <w:r>
        <w:rPr>
          <w:rFonts w:ascii="Times New Roman" w:hAnsi="Times New Roman" w:eastAsia="宋体"/>
          <w:color w:val="auto"/>
          <w:sz w:val="24"/>
          <w:szCs w:val="24"/>
          <w:vertAlign w:val="subscript"/>
        </w:rPr>
        <w:t>wo</w:t>
      </w:r>
      <w:r>
        <w:rPr>
          <w:rFonts w:ascii="Times New Roman" w:hAnsi="Times New Roman" w:eastAsia="宋体"/>
          <w:color w:val="auto"/>
          <w:sz w:val="24"/>
          <w:szCs w:val="24"/>
        </w:rPr>
        <w:t>（1-β）    （6.2.4-1）</w:t>
      </w:r>
    </w:p>
    <w:p>
      <w:pPr>
        <w:pStyle w:val="26"/>
        <w:spacing w:line="360" w:lineRule="auto"/>
        <w:ind w:left="560" w:firstLine="0" w:firstLineChars="0"/>
        <w:jc w:val="left"/>
        <w:rPr>
          <w:rFonts w:ascii="Times New Roman" w:hAnsi="Times New Roman" w:eastAsia="宋体"/>
          <w:color w:val="auto"/>
          <w:sz w:val="24"/>
          <w:szCs w:val="24"/>
        </w:rPr>
      </w:pPr>
      <w:r>
        <w:rPr>
          <w:rFonts w:ascii="Times New Roman" w:hAnsi="Times New Roman" w:eastAsia="宋体"/>
          <w:color w:val="auto"/>
          <w:sz w:val="24"/>
          <w:szCs w:val="24"/>
        </w:rPr>
        <w:t>式中：m</w:t>
      </w:r>
      <w:r>
        <w:rPr>
          <w:rFonts w:ascii="Times New Roman" w:hAnsi="Times New Roman" w:eastAsia="宋体"/>
          <w:color w:val="auto"/>
          <w:sz w:val="24"/>
          <w:szCs w:val="24"/>
          <w:vertAlign w:val="subscript"/>
        </w:rPr>
        <w:t>wo</w:t>
      </w:r>
      <w:r>
        <w:rPr>
          <w:rFonts w:ascii="Times New Roman" w:hAnsi="Times New Roman" w:eastAsia="宋体"/>
          <w:color w:val="auto"/>
          <w:sz w:val="24"/>
          <w:szCs w:val="24"/>
        </w:rPr>
        <w:t>——计算配合比每立方米混凝土的用水量（</w:t>
      </w:r>
      <w:r>
        <w:rPr>
          <w:rFonts w:ascii="Times New Roman" w:hAnsi="Times New Roman" w:eastAsia="宋体"/>
          <w:bCs/>
          <w:color w:val="auto"/>
          <w:sz w:val="24"/>
          <w:szCs w:val="24"/>
        </w:rPr>
        <w:t>kg/m</w:t>
      </w:r>
      <w:r>
        <w:rPr>
          <w:rFonts w:ascii="Times New Roman" w:hAnsi="Times New Roman" w:eastAsia="宋体"/>
          <w:bCs/>
          <w:color w:val="auto"/>
          <w:sz w:val="24"/>
          <w:szCs w:val="24"/>
          <w:vertAlign w:val="superscript"/>
        </w:rPr>
        <w:t>3</w:t>
      </w:r>
      <w:r>
        <w:rPr>
          <w:rFonts w:ascii="Times New Roman" w:hAnsi="Times New Roman" w:eastAsia="宋体"/>
          <w:color w:val="auto"/>
          <w:sz w:val="24"/>
          <w:szCs w:val="24"/>
        </w:rPr>
        <w:t>）；</w:t>
      </w:r>
    </w:p>
    <w:p>
      <w:pPr>
        <w:pStyle w:val="26"/>
        <w:spacing w:line="360" w:lineRule="auto"/>
        <w:ind w:firstLine="1214" w:firstLineChars="506"/>
        <w:jc w:val="left"/>
        <w:rPr>
          <w:rFonts w:ascii="Times New Roman" w:hAnsi="Times New Roman" w:eastAsia="宋体"/>
          <w:color w:val="auto"/>
          <w:sz w:val="24"/>
          <w:szCs w:val="24"/>
        </w:rPr>
      </w:pPr>
      <w:r>
        <w:rPr>
          <w:rFonts w:ascii="Times New Roman" w:hAnsi="Times New Roman" w:eastAsia="宋体"/>
          <w:color w:val="auto"/>
          <w:sz w:val="24"/>
          <w:szCs w:val="24"/>
        </w:rPr>
        <w:t>m’</w:t>
      </w:r>
      <w:r>
        <w:rPr>
          <w:rFonts w:ascii="Times New Roman" w:hAnsi="Times New Roman" w:eastAsia="宋体"/>
          <w:color w:val="auto"/>
          <w:sz w:val="24"/>
          <w:szCs w:val="24"/>
          <w:vertAlign w:val="subscript"/>
        </w:rPr>
        <w:t>wo</w:t>
      </w:r>
      <w:r>
        <w:rPr>
          <w:rFonts w:ascii="Times New Roman" w:hAnsi="Times New Roman" w:eastAsia="宋体"/>
          <w:color w:val="auto"/>
          <w:sz w:val="24"/>
          <w:szCs w:val="24"/>
        </w:rPr>
        <w:t>——未掺外加剂时推定的满足实际坍落度要求的每立方米混凝土用水量（</w:t>
      </w:r>
      <w:r>
        <w:rPr>
          <w:rFonts w:ascii="Times New Roman" w:hAnsi="Times New Roman" w:eastAsia="宋体"/>
          <w:bCs/>
          <w:color w:val="auto"/>
          <w:sz w:val="24"/>
          <w:szCs w:val="24"/>
        </w:rPr>
        <w:t>kg/m</w:t>
      </w:r>
      <w:r>
        <w:rPr>
          <w:rFonts w:ascii="Times New Roman" w:hAnsi="Times New Roman" w:eastAsia="宋体"/>
          <w:bCs/>
          <w:color w:val="auto"/>
          <w:sz w:val="24"/>
          <w:szCs w:val="24"/>
          <w:vertAlign w:val="superscript"/>
        </w:rPr>
        <w:t>3</w:t>
      </w:r>
      <w:r>
        <w:rPr>
          <w:rFonts w:ascii="Times New Roman" w:hAnsi="Times New Roman" w:eastAsia="宋体"/>
          <w:color w:val="auto"/>
          <w:sz w:val="24"/>
          <w:szCs w:val="24"/>
        </w:rPr>
        <w:t>）；</w:t>
      </w:r>
    </w:p>
    <w:p>
      <w:pPr>
        <w:pStyle w:val="26"/>
        <w:spacing w:line="360" w:lineRule="auto"/>
        <w:ind w:firstLine="1214" w:firstLineChars="506"/>
        <w:jc w:val="left"/>
        <w:rPr>
          <w:rFonts w:ascii="Times New Roman" w:hAnsi="Times New Roman" w:eastAsia="宋体"/>
          <w:color w:val="auto"/>
          <w:sz w:val="24"/>
          <w:szCs w:val="24"/>
        </w:rPr>
      </w:pPr>
      <w:r>
        <w:rPr>
          <w:rFonts w:ascii="Times New Roman" w:hAnsi="Times New Roman" w:eastAsia="宋体"/>
          <w:color w:val="auto"/>
          <w:sz w:val="24"/>
          <w:szCs w:val="24"/>
        </w:rPr>
        <w:t>β——外加剂的减水率（%），应经混凝土试验确定。</w:t>
      </w:r>
    </w:p>
    <w:p>
      <w:pPr>
        <w:pStyle w:val="26"/>
        <w:spacing w:line="360" w:lineRule="auto"/>
        <w:ind w:firstLine="480"/>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每立方米混凝土中外加剂用量（</w:t>
      </w:r>
      <w:r>
        <w:rPr>
          <w:rFonts w:ascii="Times New Roman" w:hAnsi="Times New Roman" w:eastAsia="宋体"/>
          <w:color w:val="auto"/>
          <w:kern w:val="0"/>
          <w:sz w:val="24"/>
          <w:szCs w:val="24"/>
        </w:rPr>
        <w:t>m</w:t>
      </w:r>
      <w:r>
        <w:rPr>
          <w:rFonts w:ascii="Times New Roman" w:hAnsi="Times New Roman" w:eastAsia="宋体"/>
          <w:color w:val="auto"/>
          <w:kern w:val="0"/>
          <w:sz w:val="24"/>
          <w:szCs w:val="24"/>
          <w:vertAlign w:val="subscript"/>
        </w:rPr>
        <w:t>a0</w:t>
      </w:r>
      <w:r>
        <w:rPr>
          <w:rFonts w:ascii="Times New Roman" w:hAnsi="Times New Roman" w:eastAsia="宋体"/>
          <w:color w:val="auto"/>
          <w:sz w:val="24"/>
          <w:szCs w:val="24"/>
        </w:rPr>
        <w:t>）应按式计算：</w:t>
      </w:r>
    </w:p>
    <w:p>
      <w:pPr>
        <w:spacing w:line="360" w:lineRule="auto"/>
        <w:ind w:firstLine="3120" w:firstLineChars="1300"/>
        <w:rPr>
          <w:color w:val="auto"/>
          <w:kern w:val="0"/>
          <w:sz w:val="24"/>
          <w:vertAlign w:val="subscript"/>
        </w:rPr>
      </w:pPr>
      <w:r>
        <w:rPr>
          <w:color w:val="auto"/>
          <w:kern w:val="0"/>
          <w:sz w:val="24"/>
        </w:rPr>
        <w:t>m</w:t>
      </w:r>
      <w:r>
        <w:rPr>
          <w:color w:val="auto"/>
          <w:kern w:val="0"/>
          <w:sz w:val="24"/>
          <w:vertAlign w:val="subscript"/>
        </w:rPr>
        <w:t>a0</w:t>
      </w:r>
      <w:r>
        <w:rPr>
          <w:color w:val="auto"/>
          <w:kern w:val="0"/>
          <w:sz w:val="24"/>
        </w:rPr>
        <w:t>=m</w:t>
      </w:r>
      <w:r>
        <w:rPr>
          <w:color w:val="auto"/>
          <w:kern w:val="0"/>
          <w:sz w:val="24"/>
          <w:vertAlign w:val="subscript"/>
        </w:rPr>
        <w:t xml:space="preserve">b0 </w:t>
      </w:r>
      <w:r>
        <w:rPr>
          <w:color w:val="auto"/>
          <w:kern w:val="0"/>
          <w:sz w:val="24"/>
        </w:rPr>
        <w:t>β</w:t>
      </w:r>
      <w:r>
        <w:rPr>
          <w:color w:val="auto"/>
          <w:kern w:val="0"/>
          <w:sz w:val="24"/>
          <w:vertAlign w:val="subscript"/>
        </w:rPr>
        <w:t xml:space="preserve">a              </w:t>
      </w:r>
      <w:r>
        <w:rPr>
          <w:color w:val="auto"/>
          <w:sz w:val="24"/>
        </w:rPr>
        <w:t>（6.2.4-2）</w:t>
      </w:r>
    </w:p>
    <w:p>
      <w:pPr>
        <w:spacing w:line="360" w:lineRule="auto"/>
        <w:ind w:firstLine="484" w:firstLineChars="202"/>
        <w:rPr>
          <w:color w:val="auto"/>
          <w:sz w:val="24"/>
        </w:rPr>
      </w:pPr>
      <w:r>
        <w:rPr>
          <w:rFonts w:hint="eastAsia" w:ascii="宋体" w:hAnsi="宋体" w:cs="宋体"/>
          <w:color w:val="auto"/>
          <w:sz w:val="24"/>
        </w:rPr>
        <w:t>式中：</w:t>
      </w:r>
      <w:r>
        <w:rPr>
          <w:color w:val="auto"/>
          <w:kern w:val="0"/>
          <w:sz w:val="24"/>
        </w:rPr>
        <w:t>m</w:t>
      </w:r>
      <w:r>
        <w:rPr>
          <w:color w:val="auto"/>
          <w:kern w:val="0"/>
          <w:sz w:val="24"/>
          <w:vertAlign w:val="subscript"/>
        </w:rPr>
        <w:t>a0</w:t>
      </w:r>
      <w:r>
        <w:rPr>
          <w:color w:val="auto"/>
          <w:sz w:val="24"/>
        </w:rPr>
        <w:t>——每立方米混凝土中外加剂用量（kg/m</w:t>
      </w:r>
      <w:r>
        <w:rPr>
          <w:color w:val="auto"/>
          <w:sz w:val="24"/>
          <w:vertAlign w:val="superscript"/>
        </w:rPr>
        <w:t>3</w:t>
      </w:r>
      <w:r>
        <w:rPr>
          <w:color w:val="auto"/>
          <w:sz w:val="24"/>
        </w:rPr>
        <w:t>）；</w:t>
      </w:r>
    </w:p>
    <w:p>
      <w:pPr>
        <w:spacing w:line="360" w:lineRule="auto"/>
        <w:ind w:firstLine="1183" w:firstLineChars="493"/>
        <w:rPr>
          <w:color w:val="auto"/>
          <w:sz w:val="24"/>
        </w:rPr>
      </w:pPr>
      <w:r>
        <w:rPr>
          <w:color w:val="auto"/>
          <w:kern w:val="0"/>
          <w:sz w:val="24"/>
        </w:rPr>
        <w:t>m</w:t>
      </w:r>
      <w:r>
        <w:rPr>
          <w:color w:val="auto"/>
          <w:kern w:val="0"/>
          <w:sz w:val="24"/>
          <w:vertAlign w:val="subscript"/>
        </w:rPr>
        <w:t>b0</w:t>
      </w:r>
      <w:r>
        <w:rPr>
          <w:color w:val="auto"/>
          <w:sz w:val="24"/>
        </w:rPr>
        <w:t>——每立方混凝土中胶凝材料用量（kg/m</w:t>
      </w:r>
      <w:r>
        <w:rPr>
          <w:color w:val="auto"/>
          <w:sz w:val="24"/>
          <w:vertAlign w:val="superscript"/>
        </w:rPr>
        <w:t>3</w:t>
      </w:r>
      <w:r>
        <w:rPr>
          <w:color w:val="auto"/>
          <w:sz w:val="24"/>
        </w:rPr>
        <w:t>）；</w:t>
      </w:r>
    </w:p>
    <w:p>
      <w:pPr>
        <w:spacing w:line="360" w:lineRule="auto"/>
        <w:ind w:firstLine="1183" w:firstLineChars="493"/>
        <w:rPr>
          <w:color w:val="auto"/>
          <w:sz w:val="24"/>
        </w:rPr>
      </w:pPr>
      <w:r>
        <w:rPr>
          <w:color w:val="auto"/>
          <w:kern w:val="0"/>
          <w:sz w:val="24"/>
        </w:rPr>
        <w:t>β</w:t>
      </w:r>
      <w:r>
        <w:rPr>
          <w:color w:val="auto"/>
          <w:kern w:val="0"/>
          <w:sz w:val="24"/>
          <w:vertAlign w:val="subscript"/>
        </w:rPr>
        <w:t xml:space="preserve">a </w:t>
      </w:r>
      <w:r>
        <w:rPr>
          <w:color w:val="auto"/>
          <w:sz w:val="24"/>
        </w:rPr>
        <w:t>——外加剂掺量（%），应经试验确定。</w:t>
      </w:r>
    </w:p>
    <w:p>
      <w:pPr>
        <w:spacing w:line="360" w:lineRule="auto"/>
        <w:rPr>
          <w:color w:val="auto"/>
          <w:sz w:val="24"/>
        </w:rPr>
      </w:pPr>
      <w:r>
        <w:rPr>
          <w:b/>
          <w:color w:val="auto"/>
          <w:sz w:val="24"/>
        </w:rPr>
        <w:t xml:space="preserve">6.2.5  </w:t>
      </w:r>
      <w:r>
        <w:rPr>
          <w:color w:val="auto"/>
          <w:sz w:val="24"/>
        </w:rPr>
        <w:t>胶凝材料、矿物掺合料和水泥用量</w:t>
      </w:r>
    </w:p>
    <w:p>
      <w:pPr>
        <w:spacing w:line="360" w:lineRule="auto"/>
        <w:ind w:firstLine="360" w:firstLineChars="100"/>
        <w:rPr>
          <w:color w:val="auto"/>
          <w:sz w:val="24"/>
        </w:rPr>
      </w:pPr>
      <m:oMath>
        <m:r>
          <m:rPr>
            <m:sty m:val="p"/>
          </m:rPr>
          <w:rPr>
            <w:rFonts w:ascii="Cambria Math" w:hAnsi="Cambria Math"/>
            <w:color w:val="auto"/>
            <w:kern w:val="0"/>
            <w:sz w:val="36"/>
            <w:szCs w:val="36"/>
            <w:vertAlign w:val="subscript"/>
          </w:rPr>
          <m:t xml:space="preserve"> </m:t>
        </m:r>
      </m:oMath>
      <w:r>
        <w:rPr>
          <w:b/>
          <w:bCs/>
          <w:color w:val="auto"/>
          <w:sz w:val="24"/>
        </w:rPr>
        <w:t>1</w:t>
      </w:r>
      <w:r>
        <w:rPr>
          <w:color w:val="auto"/>
          <w:sz w:val="24"/>
        </w:rPr>
        <w:t xml:space="preserve"> 胶凝材料用量（</w:t>
      </w:r>
      <w:r>
        <w:rPr>
          <w:color w:val="auto"/>
          <w:kern w:val="0"/>
          <w:sz w:val="24"/>
        </w:rPr>
        <w:t>m</w:t>
      </w:r>
      <w:r>
        <w:rPr>
          <w:color w:val="auto"/>
          <w:kern w:val="0"/>
          <w:sz w:val="24"/>
          <w:vertAlign w:val="subscript"/>
        </w:rPr>
        <w:t>b0</w:t>
      </w:r>
      <w:r>
        <w:rPr>
          <w:color w:val="auto"/>
          <w:sz w:val="24"/>
        </w:rPr>
        <w:t>），应按下式计算，并应进行试拌调整，保证拌合物性能符合施工及其他要求：</w:t>
      </w:r>
    </w:p>
    <w:p>
      <w:pPr>
        <w:spacing w:line="360" w:lineRule="auto"/>
        <w:ind w:firstLine="960" w:firstLineChars="400"/>
        <w:jc w:val="center"/>
        <w:rPr>
          <w:color w:val="auto"/>
          <w:sz w:val="24"/>
        </w:rPr>
      </w:pPr>
      <w:r>
        <w:rPr>
          <w:color w:val="auto"/>
          <w:kern w:val="0"/>
          <w:sz w:val="24"/>
        </w:rPr>
        <w:t>m</w:t>
      </w:r>
      <w:r>
        <w:rPr>
          <w:color w:val="auto"/>
          <w:kern w:val="0"/>
          <w:sz w:val="24"/>
          <w:vertAlign w:val="subscript"/>
        </w:rPr>
        <w:t xml:space="preserve">b0    </w:t>
      </w:r>
      <m:oMath>
        <m:r>
          <m:rPr>
            <m:sty m:val="p"/>
          </m:rPr>
          <w:rPr>
            <w:rFonts w:ascii="Cambria Math" w:hAnsi="Cambria Math"/>
            <w:color w:val="auto"/>
            <w:kern w:val="0"/>
            <w:sz w:val="36"/>
            <w:szCs w:val="36"/>
            <w:vertAlign w:val="subscript"/>
          </w:rPr>
          <m:t xml:space="preserve">= </m:t>
        </m:r>
        <m:f>
          <m:fPr>
            <m:ctrlPr>
              <w:rPr>
                <w:rFonts w:ascii="Cambria Math" w:hAnsi="Cambria Math"/>
                <w:color w:val="auto"/>
                <w:kern w:val="0"/>
                <w:sz w:val="36"/>
                <w:szCs w:val="36"/>
                <w:vertAlign w:val="subscript"/>
              </w:rPr>
            </m:ctrlPr>
          </m:fPr>
          <m:num>
            <m:sSub>
              <m:sSubPr>
                <m:ctrlPr>
                  <w:rPr>
                    <w:rFonts w:hint="eastAsia" w:ascii="Cambria Math" w:hAnsi="Cambria Math"/>
                    <w:i/>
                    <w:color w:val="auto"/>
                    <w:kern w:val="0"/>
                    <w:sz w:val="36"/>
                    <w:szCs w:val="36"/>
                    <w:vertAlign w:val="subscript"/>
                  </w:rPr>
                </m:ctrlPr>
              </m:sSubPr>
              <m:e>
                <m:r>
                  <m:rPr/>
                  <w:rPr>
                    <w:rFonts w:hint="eastAsia" w:ascii="Cambria Math" w:hAnsi="Cambria Math"/>
                    <w:color w:val="auto"/>
                    <w:kern w:val="0"/>
                    <w:sz w:val="36"/>
                    <w:szCs w:val="36"/>
                    <w:vertAlign w:val="subscript"/>
                  </w:rPr>
                  <m:t>m</m:t>
                </m:r>
                <m:ctrlPr>
                  <w:rPr>
                    <w:rFonts w:hint="eastAsia" w:ascii="Cambria Math" w:hAnsi="Cambria Math"/>
                    <w:i/>
                    <w:color w:val="auto"/>
                    <w:kern w:val="0"/>
                    <w:sz w:val="36"/>
                    <w:szCs w:val="36"/>
                    <w:vertAlign w:val="subscript"/>
                  </w:rPr>
                </m:ctrlPr>
              </m:e>
              <m:sub>
                <m:r>
                  <m:rPr/>
                  <w:rPr>
                    <w:rFonts w:hint="eastAsia" w:ascii="Cambria Math" w:hAnsi="Cambria Math"/>
                    <w:color w:val="auto"/>
                    <w:kern w:val="0"/>
                    <w:sz w:val="36"/>
                    <w:szCs w:val="36"/>
                    <w:vertAlign w:val="subscript"/>
                  </w:rPr>
                  <m:t>wo</m:t>
                </m:r>
                <m:ctrlPr>
                  <w:rPr>
                    <w:rFonts w:hint="eastAsia" w:ascii="Cambria Math" w:hAnsi="Cambria Math"/>
                    <w:i/>
                    <w:color w:val="auto"/>
                    <w:kern w:val="0"/>
                    <w:sz w:val="36"/>
                    <w:szCs w:val="36"/>
                    <w:vertAlign w:val="subscript"/>
                  </w:rPr>
                </m:ctrlPr>
              </m:sub>
            </m:sSub>
            <m:ctrlPr>
              <w:rPr>
                <w:rFonts w:ascii="Cambria Math" w:hAnsi="Cambria Math"/>
                <w:color w:val="auto"/>
                <w:kern w:val="0"/>
                <w:sz w:val="36"/>
                <w:szCs w:val="36"/>
                <w:vertAlign w:val="subscript"/>
              </w:rPr>
            </m:ctrlPr>
          </m:num>
          <m:den>
            <m:r>
              <m:rPr/>
              <w:rPr>
                <w:rFonts w:ascii="Cambria Math" w:hAnsi="Cambria Math"/>
                <w:color w:val="auto"/>
                <w:kern w:val="0"/>
                <w:sz w:val="36"/>
                <w:szCs w:val="36"/>
                <w:vertAlign w:val="subscript"/>
              </w:rPr>
              <m:t>W</m:t>
            </m:r>
            <m:r>
              <m:rPr/>
              <w:rPr>
                <w:rFonts w:hint="eastAsia" w:ascii="Cambria Math" w:hAnsi="Cambria Math"/>
                <w:color w:val="auto"/>
                <w:kern w:val="0"/>
                <w:sz w:val="36"/>
                <w:szCs w:val="36"/>
                <w:vertAlign w:val="subscript"/>
              </w:rPr>
              <m:t>/B</m:t>
            </m:r>
            <m:ctrlPr>
              <w:rPr>
                <w:rFonts w:ascii="Cambria Math" w:hAnsi="Cambria Math"/>
                <w:color w:val="auto"/>
                <w:kern w:val="0"/>
                <w:sz w:val="36"/>
                <w:szCs w:val="36"/>
                <w:vertAlign w:val="subscript"/>
              </w:rPr>
            </m:ctrlPr>
          </m:den>
        </m:f>
      </m:oMath>
      <w:r>
        <w:rPr>
          <w:color w:val="auto"/>
          <w:kern w:val="0"/>
          <w:sz w:val="24"/>
          <w:vertAlign w:val="subscript"/>
        </w:rPr>
        <w:t xml:space="preserve">          </w:t>
      </w:r>
      <w:r>
        <w:rPr>
          <w:color w:val="auto"/>
          <w:sz w:val="24"/>
        </w:rPr>
        <w:t xml:space="preserve">    （6.2.5-1）</w:t>
      </w:r>
    </w:p>
    <w:p>
      <w:pPr>
        <w:spacing w:line="360" w:lineRule="auto"/>
        <w:ind w:firstLine="484" w:firstLineChars="202"/>
        <w:rPr>
          <w:color w:val="auto"/>
          <w:sz w:val="24"/>
        </w:rPr>
      </w:pPr>
      <w:r>
        <w:rPr>
          <w:color w:val="auto"/>
          <w:sz w:val="24"/>
        </w:rPr>
        <w:t>式中：</w:t>
      </w:r>
      <w:r>
        <w:rPr>
          <w:color w:val="auto"/>
          <w:kern w:val="0"/>
          <w:sz w:val="24"/>
        </w:rPr>
        <w:t>m</w:t>
      </w:r>
      <w:r>
        <w:rPr>
          <w:color w:val="auto"/>
          <w:kern w:val="0"/>
          <w:sz w:val="24"/>
          <w:vertAlign w:val="subscript"/>
        </w:rPr>
        <w:t>b0</w:t>
      </w:r>
      <w:r>
        <w:rPr>
          <w:color w:val="auto"/>
          <w:sz w:val="24"/>
        </w:rPr>
        <w:t>——计算配合比每立方米混凝土中胶凝材料用量（kg/m</w:t>
      </w:r>
      <w:r>
        <w:rPr>
          <w:color w:val="auto"/>
          <w:sz w:val="24"/>
          <w:vertAlign w:val="superscript"/>
        </w:rPr>
        <w:t>3</w:t>
      </w:r>
      <w:r>
        <w:rPr>
          <w:color w:val="auto"/>
          <w:sz w:val="24"/>
        </w:rPr>
        <w:t>）；</w:t>
      </w:r>
    </w:p>
    <w:p>
      <w:pPr>
        <w:spacing w:line="360" w:lineRule="auto"/>
        <w:ind w:firstLine="1200" w:firstLineChars="500"/>
        <w:rPr>
          <w:color w:val="auto"/>
          <w:sz w:val="24"/>
        </w:rPr>
      </w:pPr>
      <m:oMath>
        <m:sSub>
          <m:sSubPr>
            <m:ctrlPr>
              <w:rPr>
                <w:rFonts w:hint="eastAsia" w:ascii="Cambria Math" w:hAnsi="Cambria Math"/>
                <w:i/>
                <w:color w:val="auto"/>
                <w:kern w:val="0"/>
                <w:sz w:val="24"/>
                <w:vertAlign w:val="subscript"/>
              </w:rPr>
            </m:ctrlPr>
          </m:sSubPr>
          <m:e>
            <m:r>
              <m:rPr/>
              <w:rPr>
                <w:rFonts w:hint="eastAsia" w:ascii="Cambria Math" w:hAnsi="Cambria Math"/>
                <w:color w:val="auto"/>
                <w:kern w:val="0"/>
                <w:sz w:val="24"/>
                <w:vertAlign w:val="subscript"/>
              </w:rPr>
              <m:t>m</m:t>
            </m:r>
            <m:ctrlPr>
              <w:rPr>
                <w:rFonts w:hint="eastAsia" w:ascii="Cambria Math" w:hAnsi="Cambria Math"/>
                <w:i/>
                <w:color w:val="auto"/>
                <w:kern w:val="0"/>
                <w:sz w:val="24"/>
                <w:vertAlign w:val="subscript"/>
              </w:rPr>
            </m:ctrlPr>
          </m:e>
          <m:sub>
            <m:r>
              <m:rPr/>
              <w:rPr>
                <w:rFonts w:hint="eastAsia" w:ascii="Cambria Math" w:hAnsi="Cambria Math"/>
                <w:color w:val="auto"/>
                <w:kern w:val="0"/>
                <w:sz w:val="24"/>
                <w:vertAlign w:val="subscript"/>
              </w:rPr>
              <m:t>wo</m:t>
            </m:r>
            <m:ctrlPr>
              <w:rPr>
                <w:rFonts w:hint="eastAsia" w:ascii="Cambria Math" w:hAnsi="Cambria Math"/>
                <w:i/>
                <w:color w:val="auto"/>
                <w:kern w:val="0"/>
                <w:sz w:val="24"/>
                <w:vertAlign w:val="subscript"/>
              </w:rPr>
            </m:ctrlPr>
          </m:sub>
        </m:sSub>
      </m:oMath>
      <w:r>
        <w:rPr>
          <w:color w:val="auto"/>
          <w:sz w:val="24"/>
        </w:rPr>
        <w:t>——计算配合比每立方米混凝土的用水量（kg/m</w:t>
      </w:r>
      <w:r>
        <w:rPr>
          <w:color w:val="auto"/>
          <w:sz w:val="24"/>
          <w:vertAlign w:val="superscript"/>
        </w:rPr>
        <w:t>3</w:t>
      </w:r>
      <w:r>
        <w:rPr>
          <w:color w:val="auto"/>
          <w:sz w:val="24"/>
        </w:rPr>
        <w:t>）；</w:t>
      </w:r>
    </w:p>
    <w:p>
      <w:pPr>
        <w:spacing w:line="360" w:lineRule="auto"/>
        <w:ind w:firstLine="1200" w:firstLineChars="500"/>
        <w:jc w:val="left"/>
        <w:rPr>
          <w:color w:val="auto"/>
          <w:sz w:val="24"/>
        </w:rPr>
      </w:pPr>
      <m:oMath>
        <m:r>
          <m:rPr/>
          <w:rPr>
            <w:rFonts w:ascii="Cambria Math" w:hAnsi="Cambria Math"/>
            <w:color w:val="auto"/>
            <w:kern w:val="0"/>
            <w:sz w:val="24"/>
            <w:vertAlign w:val="subscript"/>
          </w:rPr>
          <m:t>W</m:t>
        </m:r>
        <m:r>
          <m:rPr/>
          <w:rPr>
            <w:rFonts w:hint="eastAsia" w:ascii="Cambria Math" w:hAnsi="Cambria Math"/>
            <w:color w:val="auto"/>
            <w:kern w:val="0"/>
            <w:sz w:val="24"/>
            <w:vertAlign w:val="subscript"/>
          </w:rPr>
          <m:t>/B</m:t>
        </m:r>
      </m:oMath>
      <w:r>
        <w:rPr>
          <w:color w:val="auto"/>
          <w:sz w:val="24"/>
        </w:rPr>
        <w:t>——混凝土水胶比。</w:t>
      </w:r>
    </w:p>
    <w:p>
      <w:pPr>
        <w:spacing w:line="360" w:lineRule="auto"/>
        <w:ind w:firstLine="487" w:firstLineChars="202"/>
        <w:jc w:val="left"/>
        <w:rPr>
          <w:color w:val="auto"/>
          <w:sz w:val="24"/>
        </w:rPr>
      </w:pPr>
      <w:r>
        <w:rPr>
          <w:b/>
          <w:bCs/>
          <w:color w:val="auto"/>
          <w:sz w:val="24"/>
        </w:rPr>
        <w:t>2</w:t>
      </w:r>
      <w:r>
        <w:rPr>
          <w:color w:val="auto"/>
          <w:sz w:val="24"/>
        </w:rPr>
        <w:t xml:space="preserve"> 每立方米混凝土的矿物掺合料用量（</w:t>
      </w:r>
      <w:r>
        <w:rPr>
          <w:color w:val="auto"/>
          <w:kern w:val="0"/>
          <w:sz w:val="24"/>
        </w:rPr>
        <w:t>m</w:t>
      </w:r>
      <w:r>
        <w:rPr>
          <w:color w:val="auto"/>
          <w:kern w:val="0"/>
          <w:sz w:val="24"/>
          <w:vertAlign w:val="subscript"/>
        </w:rPr>
        <w:t>f0</w:t>
      </w:r>
      <w:r>
        <w:rPr>
          <w:color w:val="auto"/>
          <w:sz w:val="24"/>
        </w:rPr>
        <w:t>）应按下式计算：</w:t>
      </w:r>
    </w:p>
    <w:p>
      <w:pPr>
        <w:spacing w:line="360" w:lineRule="auto"/>
        <w:jc w:val="center"/>
        <w:rPr>
          <w:color w:val="auto"/>
          <w:kern w:val="0"/>
          <w:sz w:val="24"/>
          <w:vertAlign w:val="subscript"/>
        </w:rPr>
      </w:pPr>
      <w:r>
        <w:rPr>
          <w:color w:val="auto"/>
          <w:kern w:val="0"/>
          <w:sz w:val="24"/>
        </w:rPr>
        <w:t>m</w:t>
      </w:r>
      <w:r>
        <w:rPr>
          <w:color w:val="auto"/>
          <w:kern w:val="0"/>
          <w:sz w:val="24"/>
          <w:vertAlign w:val="subscript"/>
        </w:rPr>
        <w:t>f0=</w:t>
      </w:r>
      <w:r>
        <w:rPr>
          <w:color w:val="auto"/>
          <w:kern w:val="0"/>
          <w:sz w:val="24"/>
        </w:rPr>
        <w:t xml:space="preserve"> m</w:t>
      </w:r>
      <w:r>
        <w:rPr>
          <w:color w:val="auto"/>
          <w:kern w:val="0"/>
          <w:sz w:val="24"/>
          <w:vertAlign w:val="subscript"/>
        </w:rPr>
        <w:t>b0</w:t>
      </w:r>
      <w:r>
        <w:rPr>
          <w:color w:val="auto"/>
          <w:kern w:val="0"/>
          <w:sz w:val="24"/>
        </w:rPr>
        <w:t>β</w:t>
      </w:r>
      <w:r>
        <w:rPr>
          <w:color w:val="auto"/>
          <w:kern w:val="0"/>
          <w:sz w:val="24"/>
          <w:vertAlign w:val="subscript"/>
        </w:rPr>
        <w:t xml:space="preserve">f      </w:t>
      </w:r>
      <w:r>
        <w:rPr>
          <w:color w:val="auto"/>
          <w:sz w:val="24"/>
        </w:rPr>
        <w:t xml:space="preserve">   （6.2.5-2）</w:t>
      </w:r>
    </w:p>
    <w:p>
      <w:pPr>
        <w:spacing w:line="360" w:lineRule="auto"/>
        <w:ind w:firstLine="484" w:firstLineChars="202"/>
        <w:jc w:val="left"/>
        <w:rPr>
          <w:color w:val="auto"/>
          <w:sz w:val="24"/>
        </w:rPr>
      </w:pPr>
      <w:r>
        <w:rPr>
          <w:color w:val="auto"/>
          <w:sz w:val="24"/>
        </w:rPr>
        <w:t>式中：</w:t>
      </w:r>
      <w:r>
        <w:rPr>
          <w:color w:val="auto"/>
          <w:kern w:val="0"/>
          <w:sz w:val="24"/>
        </w:rPr>
        <w:t>m</w:t>
      </w:r>
      <w:r>
        <w:rPr>
          <w:color w:val="auto"/>
          <w:kern w:val="0"/>
          <w:sz w:val="24"/>
          <w:vertAlign w:val="subscript"/>
        </w:rPr>
        <w:t>f0——</w:t>
      </w:r>
      <w:r>
        <w:rPr>
          <w:color w:val="auto"/>
          <w:sz w:val="24"/>
        </w:rPr>
        <w:t>每立方米混凝土的矿物掺合料用量（</w:t>
      </w:r>
      <w:r>
        <w:rPr>
          <w:color w:val="auto"/>
          <w:kern w:val="0"/>
          <w:sz w:val="24"/>
        </w:rPr>
        <w:t>m</w:t>
      </w:r>
      <w:r>
        <w:rPr>
          <w:color w:val="auto"/>
          <w:kern w:val="0"/>
          <w:sz w:val="24"/>
          <w:vertAlign w:val="subscript"/>
        </w:rPr>
        <w:t>f0</w:t>
      </w:r>
      <w:r>
        <w:rPr>
          <w:color w:val="auto"/>
          <w:sz w:val="24"/>
        </w:rPr>
        <w:t>）；</w:t>
      </w:r>
    </w:p>
    <w:p>
      <w:pPr>
        <w:spacing w:line="360" w:lineRule="auto"/>
        <w:ind w:firstLine="1200" w:firstLineChars="500"/>
        <w:jc w:val="left"/>
        <w:rPr>
          <w:color w:val="auto"/>
          <w:sz w:val="24"/>
        </w:rPr>
      </w:pPr>
      <w:r>
        <w:rPr>
          <w:color w:val="auto"/>
          <w:kern w:val="0"/>
          <w:sz w:val="24"/>
        </w:rPr>
        <w:t>β</w:t>
      </w:r>
      <w:r>
        <w:rPr>
          <w:color w:val="auto"/>
          <w:kern w:val="0"/>
          <w:sz w:val="24"/>
          <w:vertAlign w:val="subscript"/>
        </w:rPr>
        <w:t>f</w:t>
      </w:r>
      <w:r>
        <w:rPr>
          <w:color w:val="auto"/>
          <w:sz w:val="24"/>
        </w:rPr>
        <w:t>——计算水胶比过程中确定的矿物掺合料掺量（%）。</w:t>
      </w:r>
    </w:p>
    <w:p>
      <w:pPr>
        <w:spacing w:line="360" w:lineRule="auto"/>
        <w:ind w:firstLine="564"/>
        <w:jc w:val="left"/>
        <w:rPr>
          <w:color w:val="auto"/>
          <w:sz w:val="24"/>
        </w:rPr>
      </w:pPr>
      <w:r>
        <w:rPr>
          <w:b/>
          <w:bCs/>
          <w:color w:val="auto"/>
          <w:sz w:val="24"/>
        </w:rPr>
        <w:t>3</w:t>
      </w:r>
      <w:r>
        <w:rPr>
          <w:color w:val="auto"/>
          <w:sz w:val="24"/>
        </w:rPr>
        <w:t xml:space="preserve"> 每立方混凝土中的水泥用量应按下式计算：</w:t>
      </w:r>
    </w:p>
    <w:p>
      <w:pPr>
        <w:spacing w:line="360" w:lineRule="auto"/>
        <w:ind w:firstLine="564"/>
        <w:jc w:val="center"/>
        <w:rPr>
          <w:color w:val="auto"/>
          <w:sz w:val="24"/>
        </w:rPr>
      </w:pPr>
      <w:r>
        <w:rPr>
          <w:color w:val="auto"/>
          <w:kern w:val="0"/>
          <w:sz w:val="24"/>
        </w:rPr>
        <w:t>m</w:t>
      </w:r>
      <w:r>
        <w:rPr>
          <w:color w:val="auto"/>
          <w:kern w:val="0"/>
          <w:sz w:val="24"/>
          <w:vertAlign w:val="subscript"/>
        </w:rPr>
        <w:t>c0=</w:t>
      </w:r>
      <w:r>
        <w:rPr>
          <w:color w:val="auto"/>
          <w:kern w:val="0"/>
          <w:sz w:val="24"/>
        </w:rPr>
        <w:t xml:space="preserve"> m</w:t>
      </w:r>
      <w:r>
        <w:rPr>
          <w:color w:val="auto"/>
          <w:kern w:val="0"/>
          <w:sz w:val="24"/>
          <w:vertAlign w:val="subscript"/>
        </w:rPr>
        <w:t xml:space="preserve">b0 - </w:t>
      </w:r>
      <w:r>
        <w:rPr>
          <w:color w:val="auto"/>
          <w:kern w:val="0"/>
          <w:sz w:val="24"/>
        </w:rPr>
        <w:t>m</w:t>
      </w:r>
      <w:r>
        <w:rPr>
          <w:color w:val="auto"/>
          <w:kern w:val="0"/>
          <w:sz w:val="24"/>
          <w:vertAlign w:val="subscript"/>
        </w:rPr>
        <w:t xml:space="preserve">f0          </w:t>
      </w:r>
      <w:r>
        <w:rPr>
          <w:color w:val="auto"/>
          <w:sz w:val="24"/>
        </w:rPr>
        <w:t xml:space="preserve"> （6.2.5-3）</w:t>
      </w:r>
    </w:p>
    <w:p>
      <w:pPr>
        <w:spacing w:line="360" w:lineRule="auto"/>
        <w:ind w:firstLine="484" w:firstLineChars="202"/>
        <w:jc w:val="left"/>
        <w:rPr>
          <w:color w:val="auto"/>
          <w:sz w:val="24"/>
        </w:rPr>
      </w:pPr>
      <w:r>
        <w:rPr>
          <w:color w:val="auto"/>
          <w:sz w:val="24"/>
        </w:rPr>
        <w:t>式中：</w:t>
      </w:r>
      <w:r>
        <w:rPr>
          <w:color w:val="auto"/>
          <w:kern w:val="0"/>
          <w:sz w:val="24"/>
        </w:rPr>
        <w:t>m</w:t>
      </w:r>
      <w:r>
        <w:rPr>
          <w:color w:val="auto"/>
          <w:kern w:val="0"/>
          <w:sz w:val="24"/>
          <w:vertAlign w:val="subscript"/>
        </w:rPr>
        <w:t>c0</w:t>
      </w:r>
      <w:r>
        <w:rPr>
          <w:color w:val="auto"/>
          <w:sz w:val="24"/>
        </w:rPr>
        <w:t>——每立方混凝土中的水泥用量（kg/m</w:t>
      </w:r>
      <w:r>
        <w:rPr>
          <w:color w:val="auto"/>
          <w:sz w:val="24"/>
          <w:vertAlign w:val="superscript"/>
        </w:rPr>
        <w:t>3</w:t>
      </w:r>
      <w:r>
        <w:rPr>
          <w:color w:val="auto"/>
          <w:sz w:val="24"/>
        </w:rPr>
        <w:t>）。</w:t>
      </w:r>
    </w:p>
    <w:p>
      <w:pPr>
        <w:spacing w:line="360" w:lineRule="auto"/>
        <w:jc w:val="left"/>
        <w:rPr>
          <w:color w:val="auto"/>
          <w:sz w:val="24"/>
        </w:rPr>
      </w:pPr>
      <w:r>
        <w:rPr>
          <w:b/>
          <w:color w:val="auto"/>
          <w:sz w:val="24"/>
        </w:rPr>
        <w:t>6.2.6</w:t>
      </w:r>
      <w:r>
        <w:rPr>
          <w:rFonts w:hint="eastAsia"/>
          <w:b/>
          <w:color w:val="auto"/>
          <w:sz w:val="24"/>
        </w:rPr>
        <w:t xml:space="preserve">  </w:t>
      </w:r>
      <w:r>
        <w:rPr>
          <w:color w:val="auto"/>
          <w:sz w:val="24"/>
        </w:rPr>
        <w:t>特细砂混凝土的砂率</w:t>
      </w:r>
    </w:p>
    <w:p>
      <w:pPr>
        <w:spacing w:line="360" w:lineRule="auto"/>
        <w:ind w:firstLine="487" w:firstLineChars="202"/>
        <w:jc w:val="left"/>
        <w:rPr>
          <w:color w:val="auto"/>
          <w:sz w:val="24"/>
        </w:rPr>
      </w:pPr>
      <w:r>
        <w:rPr>
          <w:b/>
          <w:bCs/>
          <w:color w:val="auto"/>
          <w:sz w:val="24"/>
        </w:rPr>
        <w:t>1</w:t>
      </w:r>
      <w:r>
        <w:rPr>
          <w:color w:val="auto"/>
          <w:sz w:val="24"/>
        </w:rPr>
        <w:t xml:space="preserve"> 砂率（</w:t>
      </w:r>
      <w:r>
        <w:rPr>
          <w:color w:val="auto"/>
          <w:kern w:val="0"/>
          <w:sz w:val="24"/>
        </w:rPr>
        <w:t>β</w:t>
      </w:r>
      <w:r>
        <w:rPr>
          <w:color w:val="auto"/>
          <w:kern w:val="0"/>
          <w:sz w:val="24"/>
          <w:vertAlign w:val="subscript"/>
        </w:rPr>
        <w:t>s</w:t>
      </w:r>
      <w:r>
        <w:rPr>
          <w:color w:val="auto"/>
          <w:sz w:val="24"/>
        </w:rPr>
        <w:t>）应根据骨料的技术指标、混凝土拌合物性能和施工要求，参考既有历史资料确定。</w:t>
      </w:r>
    </w:p>
    <w:p>
      <w:pPr>
        <w:spacing w:line="360" w:lineRule="auto"/>
        <w:ind w:firstLine="487" w:firstLineChars="202"/>
        <w:jc w:val="left"/>
        <w:rPr>
          <w:color w:val="auto"/>
          <w:sz w:val="24"/>
        </w:rPr>
      </w:pPr>
      <w:r>
        <w:rPr>
          <w:b/>
          <w:bCs/>
          <w:color w:val="auto"/>
          <w:sz w:val="24"/>
        </w:rPr>
        <w:t>2</w:t>
      </w:r>
      <w:r>
        <w:rPr>
          <w:color w:val="auto"/>
          <w:sz w:val="24"/>
        </w:rPr>
        <w:t xml:space="preserve"> 当缺乏砂率的历史资料时，混凝土砂率的确定应符合下列规定：</w:t>
      </w:r>
    </w:p>
    <w:p>
      <w:pPr>
        <w:spacing w:line="360" w:lineRule="auto"/>
        <w:ind w:firstLine="480" w:firstLineChars="200"/>
        <w:jc w:val="left"/>
        <w:rPr>
          <w:color w:val="auto"/>
          <w:sz w:val="24"/>
        </w:rPr>
      </w:pPr>
      <w:r>
        <w:rPr>
          <w:color w:val="auto"/>
          <w:sz w:val="24"/>
        </w:rPr>
        <w:t>（1）坍落度为（30 ~50）mm的特细砂混凝土砂率，可根据粗骨料最大公称粒径及水胶比按表 6.2.6-1 选取 ；</w:t>
      </w:r>
    </w:p>
    <w:p>
      <w:pPr>
        <w:spacing w:line="360" w:lineRule="auto"/>
        <w:ind w:firstLine="480" w:firstLineChars="200"/>
        <w:jc w:val="left"/>
        <w:rPr>
          <w:color w:val="auto"/>
          <w:sz w:val="24"/>
        </w:rPr>
      </w:pPr>
      <w:r>
        <w:rPr>
          <w:color w:val="auto"/>
          <w:sz w:val="24"/>
        </w:rPr>
        <w:t>（2）坍落度小于30 mm、大于 50 mm 的特细砂混凝土砂率可经试验确定，也可在表 6.2.6-1 的基础上，按坍落度每增大（减小）20 mm、砂率增大（减小）1％的幅度予以调整。</w:t>
      </w:r>
    </w:p>
    <w:p>
      <w:pPr>
        <w:spacing w:line="360" w:lineRule="auto"/>
        <w:ind w:firstLine="442" w:firstLineChars="200"/>
        <w:jc w:val="center"/>
        <w:rPr>
          <w:b/>
          <w:color w:val="auto"/>
          <w:sz w:val="22"/>
          <w:szCs w:val="22"/>
        </w:rPr>
      </w:pPr>
      <w:r>
        <w:rPr>
          <w:b/>
          <w:color w:val="auto"/>
          <w:sz w:val="22"/>
          <w:szCs w:val="22"/>
        </w:rPr>
        <w:t xml:space="preserve">表6.2.6-1 </w:t>
      </w:r>
      <w:r>
        <w:rPr>
          <w:rFonts w:hint="eastAsia"/>
          <w:b/>
          <w:color w:val="auto"/>
          <w:sz w:val="22"/>
          <w:szCs w:val="22"/>
        </w:rPr>
        <w:t xml:space="preserve"> </w:t>
      </w:r>
      <w:r>
        <w:rPr>
          <w:b/>
          <w:color w:val="auto"/>
          <w:sz w:val="22"/>
          <w:szCs w:val="22"/>
        </w:rPr>
        <w:t>特细砂混凝土砂率（%）</w:t>
      </w:r>
    </w:p>
    <w:tbl>
      <w:tblPr>
        <w:tblStyle w:val="13"/>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1979"/>
        <w:gridCol w:w="198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0" w:type="pct"/>
            <w:vMerge w:val="restart"/>
            <w:vAlign w:val="center"/>
          </w:tcPr>
          <w:p>
            <w:pPr>
              <w:spacing w:line="360" w:lineRule="auto"/>
              <w:jc w:val="center"/>
              <w:rPr>
                <w:color w:val="auto"/>
                <w:sz w:val="22"/>
                <w:szCs w:val="22"/>
              </w:rPr>
            </w:pPr>
            <w:r>
              <w:rPr>
                <w:color w:val="auto"/>
                <w:sz w:val="22"/>
                <w:szCs w:val="22"/>
              </w:rPr>
              <w:t>水胶比</w:t>
            </w:r>
          </w:p>
          <w:p>
            <w:pPr>
              <w:spacing w:line="360" w:lineRule="auto"/>
              <w:jc w:val="center"/>
              <w:rPr>
                <w:color w:val="auto"/>
                <w:sz w:val="22"/>
                <w:szCs w:val="22"/>
              </w:rPr>
            </w:pPr>
            <w:r>
              <w:rPr>
                <w:color w:val="auto"/>
                <w:sz w:val="22"/>
                <w:szCs w:val="22"/>
              </w:rPr>
              <w:t>（W/B）</w:t>
            </w:r>
          </w:p>
        </w:tc>
        <w:tc>
          <w:tcPr>
            <w:tcW w:w="3530" w:type="pct"/>
            <w:gridSpan w:val="3"/>
            <w:vAlign w:val="center"/>
          </w:tcPr>
          <w:p>
            <w:pPr>
              <w:spacing w:line="360" w:lineRule="auto"/>
              <w:jc w:val="center"/>
              <w:rPr>
                <w:color w:val="auto"/>
                <w:sz w:val="22"/>
                <w:szCs w:val="22"/>
              </w:rPr>
            </w:pPr>
            <w:r>
              <w:rPr>
                <w:color w:val="auto"/>
                <w:sz w:val="22"/>
                <w:szCs w:val="22"/>
              </w:rPr>
              <w:t>碎石最大公称粒径（mm）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0" w:type="pct"/>
            <w:vMerge w:val="continue"/>
            <w:vAlign w:val="center"/>
          </w:tcPr>
          <w:p>
            <w:pPr>
              <w:spacing w:line="360" w:lineRule="auto"/>
              <w:jc w:val="center"/>
              <w:rPr>
                <w:color w:val="auto"/>
                <w:sz w:val="22"/>
                <w:szCs w:val="22"/>
              </w:rPr>
            </w:pPr>
          </w:p>
        </w:tc>
        <w:tc>
          <w:tcPr>
            <w:tcW w:w="1175" w:type="pct"/>
            <w:vAlign w:val="center"/>
          </w:tcPr>
          <w:p>
            <w:pPr>
              <w:spacing w:line="360" w:lineRule="auto"/>
              <w:jc w:val="center"/>
              <w:rPr>
                <w:color w:val="auto"/>
                <w:sz w:val="22"/>
                <w:szCs w:val="22"/>
              </w:rPr>
            </w:pPr>
            <w:r>
              <w:rPr>
                <w:color w:val="auto"/>
                <w:sz w:val="22"/>
                <w:szCs w:val="22"/>
              </w:rPr>
              <w:t>10.0</w:t>
            </w:r>
          </w:p>
        </w:tc>
        <w:tc>
          <w:tcPr>
            <w:tcW w:w="1178" w:type="pct"/>
            <w:vAlign w:val="center"/>
          </w:tcPr>
          <w:p>
            <w:pPr>
              <w:spacing w:line="360" w:lineRule="auto"/>
              <w:jc w:val="center"/>
              <w:rPr>
                <w:color w:val="auto"/>
                <w:sz w:val="22"/>
                <w:szCs w:val="22"/>
              </w:rPr>
            </w:pPr>
            <w:r>
              <w:rPr>
                <w:color w:val="auto"/>
                <w:sz w:val="22"/>
                <w:szCs w:val="22"/>
              </w:rPr>
              <w:t>20.0</w:t>
            </w:r>
          </w:p>
        </w:tc>
        <w:tc>
          <w:tcPr>
            <w:tcW w:w="1177" w:type="pct"/>
            <w:vAlign w:val="center"/>
          </w:tcPr>
          <w:p>
            <w:pPr>
              <w:spacing w:line="360" w:lineRule="auto"/>
              <w:jc w:val="center"/>
              <w:rPr>
                <w:color w:val="auto"/>
                <w:sz w:val="22"/>
                <w:szCs w:val="22"/>
              </w:rPr>
            </w:pPr>
            <w:r>
              <w:rPr>
                <w:color w:val="auto"/>
                <w:sz w:val="22"/>
                <w:szCs w:val="22"/>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0" w:type="pct"/>
            <w:vAlign w:val="center"/>
          </w:tcPr>
          <w:p>
            <w:pPr>
              <w:spacing w:line="360" w:lineRule="auto"/>
              <w:jc w:val="center"/>
              <w:rPr>
                <w:color w:val="auto"/>
                <w:sz w:val="22"/>
                <w:szCs w:val="22"/>
              </w:rPr>
            </w:pPr>
            <w:r>
              <w:rPr>
                <w:color w:val="auto"/>
                <w:sz w:val="22"/>
                <w:szCs w:val="22"/>
              </w:rPr>
              <w:t>0.40</w:t>
            </w:r>
          </w:p>
        </w:tc>
        <w:tc>
          <w:tcPr>
            <w:tcW w:w="1175" w:type="pct"/>
            <w:vAlign w:val="center"/>
          </w:tcPr>
          <w:p>
            <w:pPr>
              <w:spacing w:line="360" w:lineRule="auto"/>
              <w:jc w:val="center"/>
              <w:rPr>
                <w:color w:val="auto"/>
                <w:sz w:val="22"/>
                <w:szCs w:val="22"/>
              </w:rPr>
            </w:pPr>
            <w:r>
              <w:rPr>
                <w:color w:val="auto"/>
                <w:sz w:val="22"/>
                <w:szCs w:val="22"/>
              </w:rPr>
              <w:t>15~22</w:t>
            </w:r>
          </w:p>
        </w:tc>
        <w:tc>
          <w:tcPr>
            <w:tcW w:w="1178" w:type="pct"/>
            <w:vAlign w:val="center"/>
          </w:tcPr>
          <w:p>
            <w:pPr>
              <w:spacing w:line="360" w:lineRule="auto"/>
              <w:jc w:val="center"/>
              <w:rPr>
                <w:color w:val="auto"/>
                <w:sz w:val="22"/>
                <w:szCs w:val="22"/>
              </w:rPr>
            </w:pPr>
            <w:r>
              <w:rPr>
                <w:color w:val="auto"/>
                <w:sz w:val="22"/>
                <w:szCs w:val="22"/>
              </w:rPr>
              <w:t>16~22</w:t>
            </w:r>
          </w:p>
        </w:tc>
        <w:tc>
          <w:tcPr>
            <w:tcW w:w="1177" w:type="pct"/>
            <w:vAlign w:val="center"/>
          </w:tcPr>
          <w:p>
            <w:pPr>
              <w:spacing w:line="360" w:lineRule="auto"/>
              <w:jc w:val="center"/>
              <w:rPr>
                <w:color w:val="auto"/>
                <w:sz w:val="22"/>
                <w:szCs w:val="22"/>
              </w:rPr>
            </w:pPr>
            <w:r>
              <w:rPr>
                <w:color w:val="auto"/>
                <w:sz w:val="22"/>
                <w:szCs w:val="22"/>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0" w:type="pct"/>
            <w:vAlign w:val="center"/>
          </w:tcPr>
          <w:p>
            <w:pPr>
              <w:spacing w:line="360" w:lineRule="auto"/>
              <w:jc w:val="center"/>
              <w:rPr>
                <w:color w:val="auto"/>
                <w:sz w:val="22"/>
                <w:szCs w:val="22"/>
              </w:rPr>
            </w:pPr>
            <w:r>
              <w:rPr>
                <w:color w:val="auto"/>
                <w:sz w:val="22"/>
                <w:szCs w:val="22"/>
              </w:rPr>
              <w:t>0.50</w:t>
            </w:r>
          </w:p>
        </w:tc>
        <w:tc>
          <w:tcPr>
            <w:tcW w:w="1175" w:type="pct"/>
            <w:vAlign w:val="center"/>
          </w:tcPr>
          <w:p>
            <w:pPr>
              <w:spacing w:line="360" w:lineRule="auto"/>
              <w:jc w:val="center"/>
              <w:rPr>
                <w:color w:val="auto"/>
                <w:sz w:val="22"/>
                <w:szCs w:val="22"/>
              </w:rPr>
            </w:pPr>
            <w:r>
              <w:rPr>
                <w:color w:val="auto"/>
                <w:sz w:val="22"/>
                <w:szCs w:val="22"/>
              </w:rPr>
              <w:t>20~26</w:t>
            </w:r>
          </w:p>
        </w:tc>
        <w:tc>
          <w:tcPr>
            <w:tcW w:w="1178" w:type="pct"/>
            <w:vAlign w:val="center"/>
          </w:tcPr>
          <w:p>
            <w:pPr>
              <w:spacing w:line="360" w:lineRule="auto"/>
              <w:jc w:val="center"/>
              <w:rPr>
                <w:color w:val="auto"/>
                <w:sz w:val="22"/>
                <w:szCs w:val="22"/>
              </w:rPr>
            </w:pPr>
            <w:r>
              <w:rPr>
                <w:color w:val="auto"/>
                <w:sz w:val="22"/>
                <w:szCs w:val="22"/>
              </w:rPr>
              <w:t>20~26</w:t>
            </w:r>
          </w:p>
        </w:tc>
        <w:tc>
          <w:tcPr>
            <w:tcW w:w="1177" w:type="pct"/>
            <w:vAlign w:val="center"/>
          </w:tcPr>
          <w:p>
            <w:pPr>
              <w:spacing w:line="360" w:lineRule="auto"/>
              <w:jc w:val="center"/>
              <w:rPr>
                <w:color w:val="auto"/>
                <w:sz w:val="22"/>
                <w:szCs w:val="22"/>
              </w:rPr>
            </w:pPr>
            <w:r>
              <w:rPr>
                <w:color w:val="auto"/>
                <w:sz w:val="22"/>
                <w:szCs w:val="22"/>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0" w:type="pct"/>
            <w:vAlign w:val="center"/>
          </w:tcPr>
          <w:p>
            <w:pPr>
              <w:spacing w:line="360" w:lineRule="auto"/>
              <w:jc w:val="center"/>
              <w:rPr>
                <w:color w:val="auto"/>
                <w:sz w:val="22"/>
                <w:szCs w:val="22"/>
              </w:rPr>
            </w:pPr>
            <w:r>
              <w:rPr>
                <w:color w:val="auto"/>
                <w:sz w:val="22"/>
                <w:szCs w:val="22"/>
              </w:rPr>
              <w:t>0.60</w:t>
            </w:r>
          </w:p>
        </w:tc>
        <w:tc>
          <w:tcPr>
            <w:tcW w:w="1175" w:type="pct"/>
            <w:vAlign w:val="center"/>
          </w:tcPr>
          <w:p>
            <w:pPr>
              <w:spacing w:line="360" w:lineRule="auto"/>
              <w:jc w:val="center"/>
              <w:rPr>
                <w:color w:val="auto"/>
                <w:sz w:val="22"/>
                <w:szCs w:val="22"/>
              </w:rPr>
            </w:pPr>
            <w:r>
              <w:rPr>
                <w:color w:val="auto"/>
                <w:sz w:val="22"/>
                <w:szCs w:val="22"/>
              </w:rPr>
              <w:t>23~29</w:t>
            </w:r>
          </w:p>
        </w:tc>
        <w:tc>
          <w:tcPr>
            <w:tcW w:w="1178" w:type="pct"/>
            <w:vAlign w:val="center"/>
          </w:tcPr>
          <w:p>
            <w:pPr>
              <w:spacing w:line="360" w:lineRule="auto"/>
              <w:jc w:val="center"/>
              <w:rPr>
                <w:color w:val="auto"/>
                <w:sz w:val="22"/>
                <w:szCs w:val="22"/>
              </w:rPr>
            </w:pPr>
            <w:r>
              <w:rPr>
                <w:color w:val="auto"/>
                <w:sz w:val="22"/>
                <w:szCs w:val="22"/>
              </w:rPr>
              <w:t>23~29</w:t>
            </w:r>
          </w:p>
        </w:tc>
        <w:tc>
          <w:tcPr>
            <w:tcW w:w="1177" w:type="pct"/>
            <w:vAlign w:val="center"/>
          </w:tcPr>
          <w:p>
            <w:pPr>
              <w:spacing w:line="360" w:lineRule="auto"/>
              <w:jc w:val="center"/>
              <w:rPr>
                <w:color w:val="auto"/>
                <w:sz w:val="22"/>
                <w:szCs w:val="22"/>
              </w:rPr>
            </w:pPr>
            <w:r>
              <w:rPr>
                <w:color w:val="auto"/>
                <w:sz w:val="22"/>
                <w:szCs w:val="22"/>
              </w:rPr>
              <w:t>23~29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70" w:type="pct"/>
            <w:vAlign w:val="center"/>
          </w:tcPr>
          <w:p>
            <w:pPr>
              <w:spacing w:line="360" w:lineRule="auto"/>
              <w:jc w:val="center"/>
              <w:rPr>
                <w:color w:val="auto"/>
                <w:sz w:val="22"/>
                <w:szCs w:val="22"/>
              </w:rPr>
            </w:pPr>
            <w:r>
              <w:rPr>
                <w:color w:val="auto"/>
                <w:sz w:val="22"/>
                <w:szCs w:val="22"/>
              </w:rPr>
              <w:t>0.70</w:t>
            </w:r>
          </w:p>
        </w:tc>
        <w:tc>
          <w:tcPr>
            <w:tcW w:w="1175" w:type="pct"/>
            <w:vAlign w:val="center"/>
          </w:tcPr>
          <w:p>
            <w:pPr>
              <w:spacing w:line="360" w:lineRule="auto"/>
              <w:jc w:val="center"/>
              <w:rPr>
                <w:color w:val="auto"/>
                <w:sz w:val="22"/>
                <w:szCs w:val="22"/>
              </w:rPr>
            </w:pPr>
            <w:r>
              <w:rPr>
                <w:color w:val="auto"/>
                <w:sz w:val="22"/>
                <w:szCs w:val="22"/>
              </w:rPr>
              <w:t>25~31</w:t>
            </w:r>
          </w:p>
        </w:tc>
        <w:tc>
          <w:tcPr>
            <w:tcW w:w="1178" w:type="pct"/>
            <w:vAlign w:val="center"/>
          </w:tcPr>
          <w:p>
            <w:pPr>
              <w:spacing w:line="360" w:lineRule="auto"/>
              <w:jc w:val="center"/>
              <w:rPr>
                <w:color w:val="auto"/>
                <w:sz w:val="22"/>
                <w:szCs w:val="22"/>
              </w:rPr>
            </w:pPr>
            <w:r>
              <w:rPr>
                <w:color w:val="auto"/>
                <w:sz w:val="22"/>
                <w:szCs w:val="22"/>
              </w:rPr>
              <w:t>25~30</w:t>
            </w:r>
          </w:p>
        </w:tc>
        <w:tc>
          <w:tcPr>
            <w:tcW w:w="1177" w:type="pct"/>
            <w:vAlign w:val="center"/>
          </w:tcPr>
          <w:p>
            <w:pPr>
              <w:spacing w:line="360" w:lineRule="auto"/>
              <w:jc w:val="center"/>
              <w:rPr>
                <w:color w:val="auto"/>
                <w:sz w:val="22"/>
                <w:szCs w:val="22"/>
              </w:rPr>
            </w:pPr>
            <w:r>
              <w:rPr>
                <w:color w:val="auto"/>
                <w:sz w:val="22"/>
                <w:szCs w:val="22"/>
              </w:rPr>
              <w:t>25~30</w:t>
            </w:r>
          </w:p>
        </w:tc>
      </w:tr>
    </w:tbl>
    <w:p>
      <w:pPr>
        <w:spacing w:line="360" w:lineRule="auto"/>
        <w:ind w:firstLine="594" w:firstLineChars="270"/>
        <w:rPr>
          <w:color w:val="auto"/>
          <w:sz w:val="22"/>
          <w:szCs w:val="22"/>
        </w:rPr>
      </w:pPr>
      <w:r>
        <w:rPr>
          <w:color w:val="auto"/>
          <w:sz w:val="22"/>
          <w:szCs w:val="22"/>
        </w:rPr>
        <w:t>注：本表所列砂率是按碎石空隙率为（40~44）％ 时，计算所得，在选用时，粗骨料的空隙率偏下限时，砂率宜选下限值，当粗骨料的空隙率偏上限时，砂率宜选上限值。</w:t>
      </w:r>
    </w:p>
    <w:p>
      <w:pPr>
        <w:spacing w:line="360" w:lineRule="auto"/>
        <w:ind w:firstLine="480" w:firstLineChars="200"/>
        <w:rPr>
          <w:color w:val="auto"/>
          <w:sz w:val="24"/>
        </w:rPr>
      </w:pPr>
      <w:r>
        <w:rPr>
          <w:color w:val="auto"/>
          <w:sz w:val="24"/>
        </w:rPr>
        <w:t>按粗骨料的规格和特细砂混凝土拌合物的坍落度，按照表6.2.6-2 选取砂浆剩余系数K。</w:t>
      </w:r>
    </w:p>
    <w:p>
      <w:pPr>
        <w:spacing w:line="360" w:lineRule="auto"/>
        <w:jc w:val="center"/>
        <w:rPr>
          <w:b/>
          <w:color w:val="auto"/>
          <w:sz w:val="22"/>
          <w:szCs w:val="22"/>
        </w:rPr>
      </w:pPr>
      <w:r>
        <w:rPr>
          <w:b/>
          <w:color w:val="auto"/>
          <w:sz w:val="22"/>
          <w:szCs w:val="22"/>
        </w:rPr>
        <w:t>表6.2.6-2</w:t>
      </w:r>
      <w:r>
        <w:rPr>
          <w:rFonts w:hint="eastAsia"/>
          <w:b/>
          <w:color w:val="auto"/>
          <w:sz w:val="22"/>
          <w:szCs w:val="22"/>
        </w:rPr>
        <w:t xml:space="preserve">  </w:t>
      </w:r>
      <w:r>
        <w:rPr>
          <w:b/>
          <w:color w:val="auto"/>
          <w:sz w:val="22"/>
          <w:szCs w:val="22"/>
        </w:rPr>
        <w:t>特细砂混凝土砂浆剩余系数</w:t>
      </w:r>
    </w:p>
    <w:tbl>
      <w:tblPr>
        <w:tblStyle w:val="13"/>
        <w:tblW w:w="4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060"/>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0" w:type="pct"/>
            <w:vMerge w:val="restart"/>
            <w:vAlign w:val="center"/>
          </w:tcPr>
          <w:p>
            <w:pPr>
              <w:spacing w:line="360" w:lineRule="auto"/>
              <w:jc w:val="center"/>
              <w:rPr>
                <w:color w:val="auto"/>
                <w:sz w:val="22"/>
                <w:szCs w:val="22"/>
              </w:rPr>
            </w:pPr>
            <w:r>
              <w:rPr>
                <w:color w:val="auto"/>
                <w:sz w:val="22"/>
                <w:szCs w:val="22"/>
              </w:rPr>
              <w:t>混凝土</w:t>
            </w:r>
            <w:r>
              <w:rPr>
                <w:rFonts w:hint="eastAsia"/>
                <w:color w:val="auto"/>
                <w:sz w:val="22"/>
                <w:szCs w:val="22"/>
              </w:rPr>
              <w:t>坍</w:t>
            </w:r>
            <w:r>
              <w:rPr>
                <w:color w:val="auto"/>
                <w:sz w:val="22"/>
                <w:szCs w:val="22"/>
              </w:rPr>
              <w:t>落度</w:t>
            </w:r>
          </w:p>
        </w:tc>
        <w:tc>
          <w:tcPr>
            <w:tcW w:w="3750" w:type="pct"/>
            <w:gridSpan w:val="3"/>
            <w:vAlign w:val="center"/>
          </w:tcPr>
          <w:p>
            <w:pPr>
              <w:spacing w:line="360" w:lineRule="auto"/>
              <w:jc w:val="center"/>
              <w:rPr>
                <w:color w:val="auto"/>
                <w:sz w:val="22"/>
                <w:szCs w:val="22"/>
              </w:rPr>
            </w:pPr>
            <w:r>
              <w:rPr>
                <w:color w:val="auto"/>
                <w:sz w:val="22"/>
                <w:szCs w:val="22"/>
              </w:rPr>
              <w:t>粗骨料规格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0" w:type="pct"/>
            <w:vMerge w:val="continue"/>
            <w:vAlign w:val="center"/>
          </w:tcPr>
          <w:p>
            <w:pPr>
              <w:spacing w:line="360" w:lineRule="auto"/>
              <w:jc w:val="center"/>
              <w:rPr>
                <w:color w:val="auto"/>
                <w:sz w:val="22"/>
                <w:szCs w:val="22"/>
              </w:rPr>
            </w:pPr>
          </w:p>
        </w:tc>
        <w:tc>
          <w:tcPr>
            <w:tcW w:w="1250" w:type="pct"/>
            <w:vAlign w:val="center"/>
          </w:tcPr>
          <w:p>
            <w:pPr>
              <w:spacing w:line="360" w:lineRule="auto"/>
              <w:jc w:val="center"/>
              <w:rPr>
                <w:color w:val="auto"/>
                <w:sz w:val="22"/>
                <w:szCs w:val="22"/>
              </w:rPr>
            </w:pPr>
            <w:r>
              <w:rPr>
                <w:color w:val="auto"/>
                <w:sz w:val="22"/>
                <w:szCs w:val="22"/>
              </w:rPr>
              <w:t>5~1</w:t>
            </w:r>
            <w:r>
              <w:rPr>
                <w:rFonts w:hint="eastAsia"/>
                <w:color w:val="auto"/>
                <w:sz w:val="22"/>
                <w:szCs w:val="22"/>
              </w:rPr>
              <w:t>0</w:t>
            </w:r>
          </w:p>
        </w:tc>
        <w:tc>
          <w:tcPr>
            <w:tcW w:w="1250" w:type="pct"/>
            <w:vAlign w:val="center"/>
          </w:tcPr>
          <w:p>
            <w:pPr>
              <w:spacing w:line="360" w:lineRule="auto"/>
              <w:jc w:val="center"/>
              <w:rPr>
                <w:color w:val="auto"/>
                <w:sz w:val="22"/>
                <w:szCs w:val="22"/>
              </w:rPr>
            </w:pPr>
            <w:r>
              <w:rPr>
                <w:color w:val="auto"/>
                <w:sz w:val="22"/>
                <w:szCs w:val="22"/>
              </w:rPr>
              <w:t>5~20</w:t>
            </w:r>
          </w:p>
        </w:tc>
        <w:tc>
          <w:tcPr>
            <w:tcW w:w="1250" w:type="pct"/>
            <w:vAlign w:val="center"/>
          </w:tcPr>
          <w:p>
            <w:pPr>
              <w:spacing w:line="360" w:lineRule="auto"/>
              <w:jc w:val="center"/>
              <w:rPr>
                <w:color w:val="auto"/>
                <w:sz w:val="22"/>
                <w:szCs w:val="22"/>
              </w:rPr>
            </w:pPr>
            <w:r>
              <w:rPr>
                <w:color w:val="auto"/>
                <w:sz w:val="22"/>
                <w:szCs w:val="22"/>
              </w:rPr>
              <w:t>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0" w:type="pct"/>
            <w:vAlign w:val="center"/>
          </w:tcPr>
          <w:p>
            <w:pPr>
              <w:spacing w:line="360" w:lineRule="auto"/>
              <w:jc w:val="center"/>
              <w:rPr>
                <w:color w:val="auto"/>
                <w:sz w:val="22"/>
                <w:szCs w:val="22"/>
              </w:rPr>
            </w:pPr>
            <w:r>
              <w:rPr>
                <w:color w:val="auto"/>
                <w:sz w:val="22"/>
                <w:szCs w:val="22"/>
              </w:rPr>
              <w:t>（10~30）mm</w:t>
            </w:r>
          </w:p>
        </w:tc>
        <w:tc>
          <w:tcPr>
            <w:tcW w:w="1250" w:type="pct"/>
            <w:vAlign w:val="center"/>
          </w:tcPr>
          <w:p>
            <w:pPr>
              <w:spacing w:line="360" w:lineRule="auto"/>
              <w:jc w:val="center"/>
              <w:rPr>
                <w:color w:val="auto"/>
                <w:sz w:val="22"/>
                <w:szCs w:val="22"/>
              </w:rPr>
            </w:pPr>
            <w:r>
              <w:rPr>
                <w:color w:val="auto"/>
                <w:sz w:val="22"/>
                <w:szCs w:val="22"/>
              </w:rPr>
              <w:t>1.35~1.40</w:t>
            </w:r>
          </w:p>
        </w:tc>
        <w:tc>
          <w:tcPr>
            <w:tcW w:w="1250" w:type="pct"/>
            <w:vAlign w:val="center"/>
          </w:tcPr>
          <w:p>
            <w:pPr>
              <w:spacing w:line="360" w:lineRule="auto"/>
              <w:jc w:val="center"/>
              <w:rPr>
                <w:color w:val="auto"/>
                <w:sz w:val="22"/>
                <w:szCs w:val="22"/>
              </w:rPr>
            </w:pPr>
            <w:r>
              <w:rPr>
                <w:color w:val="auto"/>
                <w:sz w:val="22"/>
                <w:szCs w:val="22"/>
              </w:rPr>
              <w:t>1.25~1.30</w:t>
            </w:r>
          </w:p>
        </w:tc>
        <w:tc>
          <w:tcPr>
            <w:tcW w:w="1250" w:type="pct"/>
            <w:vAlign w:val="center"/>
          </w:tcPr>
          <w:p>
            <w:pPr>
              <w:spacing w:line="360" w:lineRule="auto"/>
              <w:jc w:val="center"/>
              <w:rPr>
                <w:color w:val="auto"/>
                <w:sz w:val="22"/>
                <w:szCs w:val="22"/>
              </w:rPr>
            </w:pPr>
            <w:r>
              <w:rPr>
                <w:color w:val="auto"/>
                <w:sz w:val="22"/>
                <w:szCs w:val="22"/>
              </w:rPr>
              <w:t>1.20~1.25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0" w:type="pct"/>
            <w:vAlign w:val="center"/>
          </w:tcPr>
          <w:p>
            <w:pPr>
              <w:spacing w:line="360" w:lineRule="auto"/>
              <w:jc w:val="center"/>
              <w:rPr>
                <w:color w:val="auto"/>
                <w:sz w:val="22"/>
                <w:szCs w:val="22"/>
              </w:rPr>
            </w:pPr>
            <w:r>
              <w:rPr>
                <w:color w:val="auto"/>
                <w:sz w:val="22"/>
                <w:szCs w:val="22"/>
              </w:rPr>
              <w:t>（3</w:t>
            </w:r>
            <w:r>
              <w:rPr>
                <w:rFonts w:hint="eastAsia"/>
                <w:color w:val="auto"/>
                <w:sz w:val="22"/>
                <w:szCs w:val="22"/>
              </w:rPr>
              <w:t>5</w:t>
            </w:r>
            <w:r>
              <w:rPr>
                <w:color w:val="auto"/>
                <w:sz w:val="22"/>
                <w:szCs w:val="22"/>
              </w:rPr>
              <w:t>~50）mm</w:t>
            </w:r>
          </w:p>
        </w:tc>
        <w:tc>
          <w:tcPr>
            <w:tcW w:w="1250" w:type="pct"/>
            <w:vAlign w:val="center"/>
          </w:tcPr>
          <w:p>
            <w:pPr>
              <w:spacing w:line="360" w:lineRule="auto"/>
              <w:jc w:val="center"/>
              <w:rPr>
                <w:color w:val="auto"/>
                <w:sz w:val="22"/>
                <w:szCs w:val="22"/>
              </w:rPr>
            </w:pPr>
            <w:r>
              <w:rPr>
                <w:color w:val="auto"/>
                <w:sz w:val="22"/>
                <w:szCs w:val="22"/>
              </w:rPr>
              <w:t>1.40~1.45</w:t>
            </w:r>
          </w:p>
        </w:tc>
        <w:tc>
          <w:tcPr>
            <w:tcW w:w="1250" w:type="pct"/>
            <w:vAlign w:val="center"/>
          </w:tcPr>
          <w:p>
            <w:pPr>
              <w:spacing w:line="360" w:lineRule="auto"/>
              <w:jc w:val="center"/>
              <w:rPr>
                <w:color w:val="auto"/>
                <w:sz w:val="22"/>
                <w:szCs w:val="22"/>
              </w:rPr>
            </w:pPr>
            <w:r>
              <w:rPr>
                <w:color w:val="auto"/>
                <w:sz w:val="22"/>
                <w:szCs w:val="22"/>
              </w:rPr>
              <w:t>1.30~1.35</w:t>
            </w:r>
          </w:p>
        </w:tc>
        <w:tc>
          <w:tcPr>
            <w:tcW w:w="1250" w:type="pct"/>
            <w:vAlign w:val="center"/>
          </w:tcPr>
          <w:p>
            <w:pPr>
              <w:spacing w:line="360" w:lineRule="auto"/>
              <w:jc w:val="center"/>
              <w:rPr>
                <w:color w:val="auto"/>
                <w:sz w:val="22"/>
                <w:szCs w:val="22"/>
              </w:rPr>
            </w:pPr>
            <w:r>
              <w:rPr>
                <w:color w:val="auto"/>
                <w:sz w:val="22"/>
                <w:szCs w:val="22"/>
              </w:rPr>
              <w:t>1.25~1.30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50" w:type="pct"/>
            <w:vAlign w:val="center"/>
          </w:tcPr>
          <w:p>
            <w:pPr>
              <w:spacing w:line="360" w:lineRule="auto"/>
              <w:jc w:val="center"/>
              <w:rPr>
                <w:color w:val="auto"/>
                <w:sz w:val="22"/>
                <w:szCs w:val="22"/>
              </w:rPr>
            </w:pPr>
            <w:r>
              <w:rPr>
                <w:color w:val="auto"/>
                <w:sz w:val="22"/>
                <w:szCs w:val="22"/>
              </w:rPr>
              <w:t>（5</w:t>
            </w:r>
            <w:r>
              <w:rPr>
                <w:rFonts w:hint="eastAsia"/>
                <w:color w:val="auto"/>
                <w:sz w:val="22"/>
                <w:szCs w:val="22"/>
              </w:rPr>
              <w:t>5</w:t>
            </w:r>
            <w:r>
              <w:rPr>
                <w:color w:val="auto"/>
                <w:sz w:val="22"/>
                <w:szCs w:val="22"/>
              </w:rPr>
              <w:t>~70）mm</w:t>
            </w:r>
          </w:p>
        </w:tc>
        <w:tc>
          <w:tcPr>
            <w:tcW w:w="1250" w:type="pct"/>
            <w:vAlign w:val="center"/>
          </w:tcPr>
          <w:p>
            <w:pPr>
              <w:spacing w:line="360" w:lineRule="auto"/>
              <w:jc w:val="center"/>
              <w:rPr>
                <w:color w:val="auto"/>
                <w:sz w:val="22"/>
                <w:szCs w:val="22"/>
              </w:rPr>
            </w:pPr>
            <w:r>
              <w:rPr>
                <w:color w:val="auto"/>
                <w:sz w:val="22"/>
                <w:szCs w:val="22"/>
              </w:rPr>
              <w:t>1.45~1.50</w:t>
            </w:r>
          </w:p>
        </w:tc>
        <w:tc>
          <w:tcPr>
            <w:tcW w:w="1250" w:type="pct"/>
            <w:vAlign w:val="center"/>
          </w:tcPr>
          <w:p>
            <w:pPr>
              <w:spacing w:line="360" w:lineRule="auto"/>
              <w:jc w:val="center"/>
              <w:rPr>
                <w:color w:val="auto"/>
                <w:sz w:val="22"/>
                <w:szCs w:val="22"/>
              </w:rPr>
            </w:pPr>
            <w:r>
              <w:rPr>
                <w:color w:val="auto"/>
                <w:sz w:val="22"/>
                <w:szCs w:val="22"/>
              </w:rPr>
              <w:t>1.35~1.40</w:t>
            </w:r>
          </w:p>
        </w:tc>
        <w:tc>
          <w:tcPr>
            <w:tcW w:w="1250" w:type="pct"/>
            <w:vAlign w:val="center"/>
          </w:tcPr>
          <w:p>
            <w:pPr>
              <w:spacing w:line="360" w:lineRule="auto"/>
              <w:jc w:val="center"/>
              <w:rPr>
                <w:color w:val="auto"/>
                <w:sz w:val="22"/>
                <w:szCs w:val="22"/>
              </w:rPr>
            </w:pPr>
            <w:r>
              <w:rPr>
                <w:color w:val="auto"/>
                <w:sz w:val="22"/>
                <w:szCs w:val="22"/>
              </w:rPr>
              <w:t>1.30~1.35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50" w:type="pct"/>
            <w:vAlign w:val="center"/>
          </w:tcPr>
          <w:p>
            <w:pPr>
              <w:spacing w:line="360" w:lineRule="auto"/>
              <w:jc w:val="center"/>
              <w:rPr>
                <w:color w:val="auto"/>
                <w:sz w:val="22"/>
                <w:szCs w:val="22"/>
              </w:rPr>
            </w:pPr>
            <w:r>
              <w:rPr>
                <w:color w:val="auto"/>
                <w:sz w:val="22"/>
                <w:szCs w:val="22"/>
              </w:rPr>
              <w:t>（</w:t>
            </w:r>
            <w:r>
              <w:rPr>
                <w:rFonts w:hint="eastAsia"/>
                <w:color w:val="auto"/>
                <w:sz w:val="22"/>
                <w:szCs w:val="22"/>
              </w:rPr>
              <w:t>75</w:t>
            </w:r>
            <w:r>
              <w:rPr>
                <w:color w:val="auto"/>
                <w:sz w:val="22"/>
                <w:szCs w:val="22"/>
              </w:rPr>
              <w:t>~</w:t>
            </w:r>
            <w:r>
              <w:rPr>
                <w:rFonts w:hint="eastAsia"/>
                <w:color w:val="auto"/>
                <w:sz w:val="22"/>
                <w:szCs w:val="22"/>
              </w:rPr>
              <w:t>9</w:t>
            </w:r>
            <w:r>
              <w:rPr>
                <w:color w:val="auto"/>
                <w:sz w:val="22"/>
                <w:szCs w:val="22"/>
              </w:rPr>
              <w:t>0）mm</w:t>
            </w:r>
          </w:p>
        </w:tc>
        <w:tc>
          <w:tcPr>
            <w:tcW w:w="1250" w:type="pct"/>
            <w:vAlign w:val="center"/>
          </w:tcPr>
          <w:p>
            <w:pPr>
              <w:spacing w:line="360" w:lineRule="auto"/>
              <w:jc w:val="center"/>
              <w:rPr>
                <w:color w:val="auto"/>
                <w:sz w:val="22"/>
                <w:szCs w:val="22"/>
              </w:rPr>
            </w:pPr>
            <w:r>
              <w:rPr>
                <w:color w:val="auto"/>
                <w:sz w:val="22"/>
                <w:szCs w:val="22"/>
              </w:rPr>
              <w:t>1.</w:t>
            </w:r>
            <w:r>
              <w:rPr>
                <w:rFonts w:hint="eastAsia"/>
                <w:color w:val="auto"/>
                <w:sz w:val="22"/>
                <w:szCs w:val="22"/>
              </w:rPr>
              <w:t>50</w:t>
            </w:r>
            <w:r>
              <w:rPr>
                <w:color w:val="auto"/>
                <w:sz w:val="22"/>
                <w:szCs w:val="22"/>
              </w:rPr>
              <w:t>~1.5</w:t>
            </w:r>
            <w:r>
              <w:rPr>
                <w:rFonts w:hint="eastAsia"/>
                <w:color w:val="auto"/>
                <w:sz w:val="22"/>
                <w:szCs w:val="22"/>
              </w:rPr>
              <w:t>5</w:t>
            </w:r>
          </w:p>
        </w:tc>
        <w:tc>
          <w:tcPr>
            <w:tcW w:w="1250" w:type="pct"/>
            <w:vAlign w:val="center"/>
          </w:tcPr>
          <w:p>
            <w:pPr>
              <w:spacing w:line="360" w:lineRule="auto"/>
              <w:jc w:val="center"/>
              <w:rPr>
                <w:color w:val="auto"/>
                <w:sz w:val="22"/>
                <w:szCs w:val="22"/>
              </w:rPr>
            </w:pPr>
            <w:r>
              <w:rPr>
                <w:color w:val="auto"/>
                <w:sz w:val="22"/>
                <w:szCs w:val="22"/>
              </w:rPr>
              <w:t>1.</w:t>
            </w:r>
            <w:r>
              <w:rPr>
                <w:rFonts w:hint="eastAsia"/>
                <w:color w:val="auto"/>
                <w:sz w:val="22"/>
                <w:szCs w:val="22"/>
              </w:rPr>
              <w:t>40</w:t>
            </w:r>
            <w:r>
              <w:rPr>
                <w:color w:val="auto"/>
                <w:sz w:val="22"/>
                <w:szCs w:val="22"/>
              </w:rPr>
              <w:t>~1.4</w:t>
            </w:r>
            <w:r>
              <w:rPr>
                <w:rFonts w:hint="eastAsia"/>
                <w:color w:val="auto"/>
                <w:sz w:val="22"/>
                <w:szCs w:val="22"/>
              </w:rPr>
              <w:t>5</w:t>
            </w:r>
          </w:p>
        </w:tc>
        <w:tc>
          <w:tcPr>
            <w:tcW w:w="1250" w:type="pct"/>
            <w:vAlign w:val="center"/>
          </w:tcPr>
          <w:p>
            <w:pPr>
              <w:spacing w:line="360" w:lineRule="auto"/>
              <w:jc w:val="center"/>
              <w:rPr>
                <w:color w:val="auto"/>
                <w:sz w:val="22"/>
                <w:szCs w:val="22"/>
              </w:rPr>
            </w:pPr>
            <w:r>
              <w:rPr>
                <w:color w:val="auto"/>
                <w:sz w:val="22"/>
                <w:szCs w:val="22"/>
              </w:rPr>
              <w:t>1.3</w:t>
            </w:r>
            <w:r>
              <w:rPr>
                <w:rFonts w:hint="eastAsia"/>
                <w:color w:val="auto"/>
                <w:sz w:val="22"/>
                <w:szCs w:val="22"/>
              </w:rPr>
              <w:t>5</w:t>
            </w:r>
            <w:r>
              <w:rPr>
                <w:color w:val="auto"/>
                <w:sz w:val="22"/>
                <w:szCs w:val="22"/>
              </w:rPr>
              <w:t>~1.</w:t>
            </w:r>
            <w:r>
              <w:rPr>
                <w:rFonts w:hint="eastAsia"/>
                <w:color w:val="auto"/>
                <w:sz w:val="22"/>
                <w:szCs w:val="22"/>
              </w:rPr>
              <w:t>40</w:t>
            </w:r>
          </w:p>
        </w:tc>
      </w:tr>
    </w:tbl>
    <w:p>
      <w:pPr>
        <w:spacing w:line="360" w:lineRule="auto"/>
        <w:rPr>
          <w:color w:val="auto"/>
          <w:sz w:val="24"/>
        </w:rPr>
      </w:pPr>
      <w:r>
        <w:rPr>
          <w:b/>
          <w:color w:val="auto"/>
          <w:sz w:val="24"/>
        </w:rPr>
        <w:t>6.2.7</w:t>
      </w:r>
      <w:r>
        <w:rPr>
          <w:rFonts w:hint="eastAsia"/>
          <w:b/>
          <w:color w:val="auto"/>
          <w:sz w:val="24"/>
        </w:rPr>
        <w:t xml:space="preserve">  </w:t>
      </w:r>
      <w:r>
        <w:rPr>
          <w:color w:val="auto"/>
          <w:sz w:val="24"/>
        </w:rPr>
        <w:t>粗、细骨料用量</w:t>
      </w:r>
    </w:p>
    <w:p>
      <w:pPr>
        <w:spacing w:line="360" w:lineRule="auto"/>
        <w:ind w:firstLine="487" w:firstLineChars="202"/>
        <w:rPr>
          <w:color w:val="auto"/>
          <w:sz w:val="24"/>
        </w:rPr>
      </w:pPr>
      <w:r>
        <w:rPr>
          <w:b/>
          <w:bCs/>
          <w:color w:val="auto"/>
          <w:sz w:val="24"/>
        </w:rPr>
        <w:t>1</w:t>
      </w:r>
      <w:r>
        <w:rPr>
          <w:color w:val="auto"/>
          <w:sz w:val="24"/>
        </w:rPr>
        <w:t xml:space="preserve"> 当采用体积法计算混凝土配合比时，粗、细骨料用量和砂率应按式6.2.7-1、式6.2.7-2计算：</w:t>
      </w:r>
    </w:p>
    <w:p>
      <w:pPr>
        <w:spacing w:line="360" w:lineRule="auto"/>
        <w:ind w:firstLine="840" w:firstLineChars="300"/>
        <w:jc w:val="center"/>
        <w:rPr>
          <w:color w:val="auto"/>
          <w:kern w:val="0"/>
          <w:sz w:val="24"/>
        </w:rPr>
      </w:pPr>
      <m:oMath>
        <m:f>
          <m:fPr>
            <m:ctrlPr>
              <w:rPr>
                <w:rFonts w:hint="default" w:ascii="Cambria Math" w:hAnsi="Cambria Math"/>
                <w:color w:val="auto"/>
                <w:kern w:val="0"/>
                <w:sz w:val="28"/>
                <w:szCs w:val="28"/>
              </w:rPr>
            </m:ctrlPr>
          </m:fPr>
          <m:num>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c</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rPr>
                </m:ctrlPr>
              </m:sub>
            </m:sSub>
            <m:ctrlPr>
              <w:rPr>
                <w:rFonts w:hint="default" w:ascii="Cambria Math" w:hAnsi="Cambria Math"/>
                <w:color w:val="auto"/>
                <w:kern w:val="0"/>
                <w:sz w:val="28"/>
                <w:szCs w:val="28"/>
              </w:rPr>
            </m:ctrlPr>
          </m:num>
          <m:den>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ρ</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c</m:t>
                </m:r>
                <m:ctrlPr>
                  <w:rPr>
                    <w:rFonts w:hint="default" w:ascii="Cambria Math" w:hAnsi="Cambria Math"/>
                    <w:b w:val="0"/>
                    <w:i w:val="0"/>
                    <w:color w:val="auto"/>
                    <w:kern w:val="0"/>
                    <w:sz w:val="28"/>
                    <w:szCs w:val="28"/>
                  </w:rPr>
                </m:ctrlPr>
              </m:sub>
            </m:sSub>
            <m:ctrlPr>
              <w:rPr>
                <w:rFonts w:hint="default" w:ascii="Cambria Math" w:hAnsi="Cambria Math"/>
                <w:color w:val="auto"/>
                <w:kern w:val="0"/>
                <w:sz w:val="28"/>
                <w:szCs w:val="28"/>
              </w:rPr>
            </m:ctrlPr>
          </m:den>
        </m:f>
      </m:oMath>
      <w:r>
        <w:rPr>
          <w:rFonts w:hint="default" w:ascii="Times New Roman" w:hAnsi="Times New Roman" w:cs="Times New Roman"/>
          <w:color w:val="auto"/>
          <w:kern w:val="0"/>
          <w:sz w:val="28"/>
          <w:szCs w:val="28"/>
        </w:rPr>
        <w:t xml:space="preserve"> + </w:t>
      </w:r>
      <m:oMath>
        <m:f>
          <m:fPr>
            <m:ctrlPr>
              <w:rPr>
                <w:rFonts w:hint="default" w:ascii="Cambria Math" w:hAnsi="Cambria Math"/>
                <w:color w:val="auto"/>
                <w:kern w:val="0"/>
                <w:sz w:val="28"/>
                <w:szCs w:val="28"/>
              </w:rPr>
            </m:ctrlPr>
          </m:fPr>
          <m:num>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rPr>
                </m:ctrlPr>
              </m:e>
              <m:sub>
                <m:r>
                  <m:rPr>
                    <m:sty m:val="p"/>
                  </m:rPr>
                  <w:rPr>
                    <w:rFonts w:hint="eastAsia" w:ascii="Cambria Math" w:hAnsi="Cambria Math"/>
                    <w:color w:val="auto"/>
                    <w:kern w:val="0"/>
                    <w:sz w:val="28"/>
                    <w:szCs w:val="28"/>
                  </w:rPr>
                  <m:t>f</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rPr>
                </m:ctrlPr>
              </m:sub>
            </m:sSub>
            <m:ctrlPr>
              <w:rPr>
                <w:rFonts w:hint="default" w:ascii="Cambria Math" w:hAnsi="Cambria Math"/>
                <w:color w:val="auto"/>
                <w:kern w:val="0"/>
                <w:sz w:val="28"/>
                <w:szCs w:val="28"/>
              </w:rPr>
            </m:ctrlPr>
          </m:num>
          <m:den>
            <m:sSub>
              <m:sSubPr>
                <m:ctrlPr>
                  <w:rPr>
                    <w:rFonts w:hint="eastAsia"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ρ</m:t>
                </m:r>
                <m:ctrlPr>
                  <w:rPr>
                    <w:rFonts w:hint="eastAsia" w:ascii="Cambria Math" w:hAnsi="Cambria Math"/>
                    <w:b w:val="0"/>
                    <w:i w:val="0"/>
                    <w:color w:val="auto"/>
                    <w:kern w:val="0"/>
                    <w:sz w:val="28"/>
                    <w:szCs w:val="28"/>
                  </w:rPr>
                </m:ctrlPr>
              </m:e>
              <m:sub>
                <m:r>
                  <m:rPr>
                    <m:sty m:val="p"/>
                  </m:rPr>
                  <w:rPr>
                    <w:rFonts w:hint="eastAsia" w:ascii="Cambria Math" w:hAnsi="Cambria Math"/>
                    <w:color w:val="auto"/>
                    <w:kern w:val="0"/>
                    <w:sz w:val="28"/>
                    <w:szCs w:val="28"/>
                  </w:rPr>
                  <m:t>f</m:t>
                </m:r>
                <m:ctrlPr>
                  <w:rPr>
                    <w:rFonts w:hint="eastAsia" w:ascii="Cambria Math" w:hAnsi="Cambria Math"/>
                    <w:b w:val="0"/>
                    <w:i w:val="0"/>
                    <w:color w:val="auto"/>
                    <w:kern w:val="0"/>
                    <w:sz w:val="28"/>
                    <w:szCs w:val="28"/>
                  </w:rPr>
                </m:ctrlPr>
              </m:sub>
            </m:sSub>
            <m:ctrlPr>
              <w:rPr>
                <w:rFonts w:hint="default" w:ascii="Cambria Math" w:hAnsi="Cambria Math"/>
                <w:color w:val="auto"/>
                <w:kern w:val="0"/>
                <w:sz w:val="28"/>
                <w:szCs w:val="28"/>
              </w:rPr>
            </m:ctrlPr>
          </m:den>
        </m:f>
      </m:oMath>
      <w:r>
        <w:rPr>
          <w:rFonts w:hint="eastAsia"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w:t>
      </w:r>
      <w:r>
        <w:rPr>
          <w:rFonts w:hint="eastAsia" w:cs="Times New Roman"/>
          <w:color w:val="auto"/>
          <w:kern w:val="0"/>
          <w:sz w:val="28"/>
          <w:szCs w:val="28"/>
          <w:lang w:val="en-US" w:eastAsia="zh-CN"/>
        </w:rPr>
        <w:t xml:space="preserve"> </w:t>
      </w:r>
      <m:oMath>
        <m:f>
          <m:fPr>
            <m:ctrlPr>
              <w:rPr>
                <w:rFonts w:hint="default" w:ascii="Cambria Math" w:hAnsi="Cambria Math"/>
                <w:color w:val="auto"/>
                <w:kern w:val="0"/>
                <w:sz w:val="28"/>
                <w:szCs w:val="28"/>
              </w:rPr>
            </m:ctrlPr>
          </m:fPr>
          <m:num>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g</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rPr>
                </m:ctrlPr>
              </m:sub>
            </m:sSub>
            <m:ctrlPr>
              <w:rPr>
                <w:rFonts w:hint="default" w:ascii="Cambria Math" w:hAnsi="Cambria Math"/>
                <w:color w:val="auto"/>
                <w:kern w:val="0"/>
                <w:sz w:val="28"/>
                <w:szCs w:val="28"/>
              </w:rPr>
            </m:ctrlPr>
          </m:num>
          <m:den>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ρ</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g</m:t>
                </m:r>
                <m:ctrlPr>
                  <w:rPr>
                    <w:rFonts w:hint="default" w:ascii="Cambria Math" w:hAnsi="Cambria Math"/>
                    <w:b w:val="0"/>
                    <w:i w:val="0"/>
                    <w:color w:val="auto"/>
                    <w:kern w:val="0"/>
                    <w:sz w:val="28"/>
                    <w:szCs w:val="28"/>
                  </w:rPr>
                </m:ctrlPr>
              </m:sub>
            </m:sSub>
            <m:ctrlPr>
              <w:rPr>
                <w:rFonts w:hint="default" w:ascii="Cambria Math" w:hAnsi="Cambria Math"/>
                <w:color w:val="auto"/>
                <w:kern w:val="0"/>
                <w:sz w:val="28"/>
                <w:szCs w:val="28"/>
              </w:rPr>
            </m:ctrlPr>
          </m:den>
        </m:f>
      </m:oMath>
      <w:r>
        <w:rPr>
          <w:rFonts w:hint="eastAsia"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w:t>
      </w:r>
      <w:r>
        <w:rPr>
          <w:rFonts w:hint="eastAsia" w:cs="Times New Roman"/>
          <w:color w:val="auto"/>
          <w:kern w:val="0"/>
          <w:sz w:val="28"/>
          <w:szCs w:val="28"/>
          <w:lang w:val="en-US" w:eastAsia="zh-CN"/>
        </w:rPr>
        <w:t xml:space="preserve"> </w:t>
      </w:r>
      <m:oMath>
        <m:f>
          <m:fPr>
            <m:ctrlPr>
              <w:rPr>
                <w:rFonts w:hint="default" w:ascii="Cambria Math" w:hAnsi="Cambria Math"/>
                <w:color w:val="auto"/>
                <w:kern w:val="0"/>
                <w:sz w:val="28"/>
                <w:szCs w:val="28"/>
              </w:rPr>
            </m:ctrlPr>
          </m:fPr>
          <m:num>
            <m:sSub>
              <m:sSubPr>
                <m:ctrlPr>
                  <w:rPr>
                    <w:rFonts w:hint="default" w:ascii="Cambria Math" w:hAnsi="Cambria Math"/>
                    <w:b w:val="0"/>
                    <w:i w:val="0"/>
                    <w:color w:val="auto"/>
                    <w:kern w:val="0"/>
                    <w:sz w:val="28"/>
                    <w:szCs w:val="28"/>
                    <w:vertAlign w:val="subscript"/>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vertAlign w:val="subscript"/>
                  </w:rPr>
                </m:ctrlPr>
              </m:e>
              <m:sub>
                <m:r>
                  <m:rPr>
                    <m:sty m:val="p"/>
                  </m:rPr>
                  <w:rPr>
                    <w:rFonts w:hint="default" w:ascii="Cambria Math" w:hAnsi="Cambria Math"/>
                    <w:color w:val="auto"/>
                    <w:kern w:val="0"/>
                    <w:sz w:val="28"/>
                    <w:szCs w:val="28"/>
                    <w:vertAlign w:val="subscript"/>
                  </w:rPr>
                  <m:t>s</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vertAlign w:val="subscript"/>
                  </w:rPr>
                </m:ctrlPr>
              </m:sub>
            </m:sSub>
            <m:ctrlPr>
              <w:rPr>
                <w:rFonts w:hint="default" w:ascii="Cambria Math" w:hAnsi="Cambria Math"/>
                <w:color w:val="auto"/>
                <w:kern w:val="0"/>
                <w:sz w:val="28"/>
                <w:szCs w:val="28"/>
              </w:rPr>
            </m:ctrlPr>
          </m:num>
          <m:den>
            <m:sSub>
              <m:sSubPr>
                <m:ctrlPr>
                  <w:rPr>
                    <w:rFonts w:hint="default" w:ascii="Cambria Math" w:hAnsi="Cambria Math"/>
                    <w:b w:val="0"/>
                    <w:i w:val="0"/>
                    <w:color w:val="auto"/>
                    <w:kern w:val="0"/>
                    <w:sz w:val="28"/>
                    <w:szCs w:val="28"/>
                    <w:vertAlign w:val="subscript"/>
                  </w:rPr>
                </m:ctrlPr>
              </m:sSubPr>
              <m:e>
                <m:r>
                  <m:rPr>
                    <m:sty m:val="p"/>
                  </m:rPr>
                  <w:rPr>
                    <w:rFonts w:hint="default" w:ascii="Cambria Math" w:hAnsi="Cambria Math"/>
                    <w:color w:val="auto"/>
                    <w:kern w:val="0"/>
                    <w:sz w:val="28"/>
                    <w:szCs w:val="28"/>
                  </w:rPr>
                  <m:t>ρ</m:t>
                </m:r>
                <m:ctrlPr>
                  <w:rPr>
                    <w:rFonts w:hint="default" w:ascii="Cambria Math" w:hAnsi="Cambria Math"/>
                    <w:b w:val="0"/>
                    <w:i w:val="0"/>
                    <w:color w:val="auto"/>
                    <w:kern w:val="0"/>
                    <w:sz w:val="28"/>
                    <w:szCs w:val="28"/>
                    <w:vertAlign w:val="subscript"/>
                  </w:rPr>
                </m:ctrlPr>
              </m:e>
              <m:sub>
                <m:r>
                  <m:rPr>
                    <m:sty m:val="p"/>
                  </m:rPr>
                  <w:rPr>
                    <w:rFonts w:hint="default" w:ascii="Cambria Math" w:hAnsi="Cambria Math"/>
                    <w:color w:val="auto"/>
                    <w:kern w:val="0"/>
                    <w:sz w:val="28"/>
                    <w:szCs w:val="28"/>
                    <w:vertAlign w:val="subscript"/>
                  </w:rPr>
                  <m:t>s</m:t>
                </m:r>
                <m:ctrlPr>
                  <w:rPr>
                    <w:rFonts w:hint="default" w:ascii="Cambria Math" w:hAnsi="Cambria Math"/>
                    <w:b w:val="0"/>
                    <w:i w:val="0"/>
                    <w:color w:val="auto"/>
                    <w:kern w:val="0"/>
                    <w:sz w:val="28"/>
                    <w:szCs w:val="28"/>
                    <w:vertAlign w:val="subscript"/>
                  </w:rPr>
                </m:ctrlPr>
              </m:sub>
            </m:sSub>
            <m:ctrlPr>
              <w:rPr>
                <w:rFonts w:hint="default" w:ascii="Cambria Math" w:hAnsi="Cambria Math"/>
                <w:color w:val="auto"/>
                <w:kern w:val="0"/>
                <w:sz w:val="28"/>
                <w:szCs w:val="28"/>
              </w:rPr>
            </m:ctrlPr>
          </m:den>
        </m:f>
      </m:oMath>
      <w:r>
        <w:rPr>
          <w:rFonts w:hint="eastAsia"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w:t>
      </w:r>
      <w:r>
        <w:rPr>
          <w:rFonts w:hint="eastAsia" w:cs="Times New Roman"/>
          <w:color w:val="auto"/>
          <w:kern w:val="0"/>
          <w:sz w:val="28"/>
          <w:szCs w:val="28"/>
          <w:lang w:val="en-US" w:eastAsia="zh-CN"/>
        </w:rPr>
        <w:t xml:space="preserve"> </w:t>
      </w:r>
      <m:oMath>
        <m:f>
          <m:fPr>
            <m:ctrlPr>
              <w:rPr>
                <w:rFonts w:hint="default" w:ascii="Cambria Math" w:hAnsi="Cambria Math"/>
                <w:color w:val="auto"/>
                <w:kern w:val="0"/>
                <w:sz w:val="28"/>
                <w:szCs w:val="28"/>
              </w:rPr>
            </m:ctrlPr>
          </m:fPr>
          <m:num>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w</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rPr>
                </m:ctrlPr>
              </m:sub>
            </m:sSub>
            <m:ctrlPr>
              <w:rPr>
                <w:rFonts w:hint="default" w:ascii="Cambria Math" w:hAnsi="Cambria Math"/>
                <w:color w:val="auto"/>
                <w:kern w:val="0"/>
                <w:sz w:val="28"/>
                <w:szCs w:val="28"/>
              </w:rPr>
            </m:ctrlPr>
          </m:num>
          <m:den>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ρ</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w</m:t>
                </m:r>
                <m:ctrlPr>
                  <w:rPr>
                    <w:rFonts w:hint="default" w:ascii="Cambria Math" w:hAnsi="Cambria Math"/>
                    <w:b w:val="0"/>
                    <w:i w:val="0"/>
                    <w:color w:val="auto"/>
                    <w:kern w:val="0"/>
                    <w:sz w:val="28"/>
                    <w:szCs w:val="28"/>
                  </w:rPr>
                </m:ctrlPr>
              </m:sub>
            </m:sSub>
            <m:ctrlPr>
              <w:rPr>
                <w:rFonts w:hint="default" w:ascii="Cambria Math" w:hAnsi="Cambria Math"/>
                <w:color w:val="auto"/>
                <w:kern w:val="0"/>
                <w:sz w:val="28"/>
                <w:szCs w:val="28"/>
              </w:rPr>
            </m:ctrlPr>
          </m:den>
        </m:f>
      </m:oMath>
      <w:r>
        <w:rPr>
          <w:rFonts w:hint="eastAsia"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+0.01α=1  </w:t>
      </w:r>
      <w:r>
        <w:rPr>
          <w:color w:val="auto"/>
          <w:kern w:val="0"/>
          <w:sz w:val="28"/>
          <w:szCs w:val="28"/>
        </w:rPr>
        <w:t xml:space="preserve"> （</w:t>
      </w:r>
      <w:r>
        <w:rPr>
          <w:color w:val="auto"/>
          <w:sz w:val="24"/>
        </w:rPr>
        <w:t>6.2.7-1</w:t>
      </w:r>
      <w:r>
        <w:rPr>
          <w:color w:val="auto"/>
          <w:kern w:val="0"/>
          <w:sz w:val="24"/>
        </w:rPr>
        <w:t xml:space="preserve">）             </w:t>
      </w:r>
    </w:p>
    <w:p>
      <w:pPr>
        <w:spacing w:line="360" w:lineRule="auto"/>
        <w:jc w:val="center"/>
        <w:rPr>
          <w:color w:val="auto"/>
          <w:kern w:val="0"/>
          <w:sz w:val="24"/>
        </w:rPr>
      </w:pPr>
      <w:r>
        <w:rPr>
          <w:rFonts w:hint="default" w:ascii="Times New Roman" w:hAnsi="Times New Roman" w:cs="Times New Roman"/>
          <w:color w:val="auto"/>
          <w:kern w:val="0"/>
          <w:sz w:val="28"/>
          <w:szCs w:val="28"/>
        </w:rPr>
        <w:t>β</w:t>
      </w:r>
      <w:r>
        <w:rPr>
          <w:rFonts w:hint="default" w:ascii="Times New Roman" w:hAnsi="Times New Roman" w:cs="Times New Roman"/>
          <w:color w:val="auto"/>
          <w:kern w:val="0"/>
          <w:sz w:val="28"/>
          <w:szCs w:val="28"/>
          <w:vertAlign w:val="subscript"/>
        </w:rPr>
        <w:t>s</w:t>
      </w:r>
      <w:r>
        <w:rPr>
          <w:rFonts w:hint="default" w:ascii="Times New Roman" w:hAnsi="Times New Roman" w:cs="Times New Roman"/>
          <w:color w:val="auto"/>
          <w:kern w:val="0"/>
          <w:sz w:val="28"/>
          <w:szCs w:val="28"/>
        </w:rPr>
        <w:t>=</w:t>
      </w:r>
      <w:r>
        <w:rPr>
          <w:rFonts w:hint="eastAsia" w:cs="Times New Roman"/>
          <w:color w:val="auto"/>
          <w:kern w:val="0"/>
          <w:sz w:val="28"/>
          <w:szCs w:val="28"/>
          <w:lang w:val="en-US" w:eastAsia="zh-CN"/>
        </w:rPr>
        <w:t xml:space="preserve">  </w:t>
      </w:r>
      <m:oMath>
        <m:f>
          <m:fPr>
            <m:ctrlPr>
              <w:rPr>
                <w:rFonts w:hint="default" w:ascii="Cambria Math" w:hAnsi="Cambria Math"/>
                <w:color w:val="auto"/>
                <w:kern w:val="0"/>
                <w:sz w:val="28"/>
                <w:szCs w:val="28"/>
              </w:rPr>
            </m:ctrlPr>
          </m:fPr>
          <m:num>
            <m:sSub>
              <m:sSubPr>
                <m:ctrlPr>
                  <w:rPr>
                    <w:rFonts w:hint="default" w:ascii="Cambria Math" w:hAnsi="Cambria Math"/>
                    <w:b w:val="0"/>
                    <w:i w:val="0"/>
                    <w:color w:val="auto"/>
                    <w:kern w:val="0"/>
                    <w:sz w:val="28"/>
                    <w:szCs w:val="28"/>
                    <w:vertAlign w:val="subscript"/>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vertAlign w:val="subscript"/>
                  </w:rPr>
                </m:ctrlPr>
              </m:e>
              <m:sub>
                <m:r>
                  <m:rPr>
                    <m:sty m:val="p"/>
                  </m:rPr>
                  <w:rPr>
                    <w:rFonts w:hint="default" w:ascii="Cambria Math" w:hAnsi="Cambria Math"/>
                    <w:color w:val="auto"/>
                    <w:kern w:val="0"/>
                    <w:sz w:val="28"/>
                    <w:szCs w:val="28"/>
                    <w:vertAlign w:val="subscript"/>
                  </w:rPr>
                  <m:t>s</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vertAlign w:val="subscript"/>
                  </w:rPr>
                </m:ctrlPr>
              </m:sub>
            </m:sSub>
            <m:ctrlPr>
              <w:rPr>
                <w:rFonts w:hint="default" w:ascii="Cambria Math" w:hAnsi="Cambria Math"/>
                <w:color w:val="auto"/>
                <w:kern w:val="0"/>
                <w:sz w:val="28"/>
                <w:szCs w:val="28"/>
              </w:rPr>
            </m:ctrlPr>
          </m:num>
          <m:den>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g</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rPr>
                </m:ctrlPr>
              </m:sub>
            </m:sSub>
            <m:r>
              <m:rPr>
                <m:sty m:val="p"/>
              </m:rPr>
              <w:rPr>
                <w:rFonts w:hint="default" w:ascii="Cambria Math" w:hAnsi="Cambria Math"/>
                <w:color w:val="auto"/>
                <w:kern w:val="0"/>
                <w:sz w:val="28"/>
                <w:szCs w:val="28"/>
              </w:rPr>
              <m:t>+</m:t>
            </m:r>
            <m:sSub>
              <m:sSubPr>
                <m:ctrlPr>
                  <w:rPr>
                    <w:rFonts w:hint="default" w:ascii="Cambria Math" w:hAnsi="Cambria Math"/>
                    <w:b w:val="0"/>
                    <w:i w:val="0"/>
                    <w:color w:val="auto"/>
                    <w:kern w:val="0"/>
                    <w:sz w:val="28"/>
                    <w:szCs w:val="28"/>
                    <w:vertAlign w:val="subscript"/>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vertAlign w:val="subscript"/>
                  </w:rPr>
                </m:ctrlPr>
              </m:e>
              <m:sub>
                <m:r>
                  <m:rPr>
                    <m:sty m:val="p"/>
                  </m:rPr>
                  <w:rPr>
                    <w:rFonts w:hint="default" w:ascii="Cambria Math" w:hAnsi="Cambria Math"/>
                    <w:color w:val="auto"/>
                    <w:kern w:val="0"/>
                    <w:sz w:val="28"/>
                    <w:szCs w:val="28"/>
                    <w:vertAlign w:val="subscript"/>
                  </w:rPr>
                  <m:t>s</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vertAlign w:val="subscript"/>
                  </w:rPr>
                </m:ctrlPr>
              </m:sub>
            </m:sSub>
            <m:ctrlPr>
              <w:rPr>
                <w:rFonts w:hint="default" w:ascii="Cambria Math" w:hAnsi="Cambria Math"/>
                <w:color w:val="auto"/>
                <w:kern w:val="0"/>
                <w:sz w:val="28"/>
                <w:szCs w:val="28"/>
              </w:rPr>
            </m:ctrlPr>
          </m:den>
        </m:f>
      </m:oMath>
      <w:r>
        <w:rPr>
          <w:rFonts w:hint="eastAsia"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×100% </w:t>
      </w:r>
      <w:r>
        <w:rPr>
          <w:rFonts w:hint="default" w:ascii="Times New Roman" w:hAnsi="Times New Roman" w:cs="Times New Roman"/>
          <w:color w:val="auto"/>
          <w:kern w:val="0"/>
          <w:sz w:val="24"/>
          <w:szCs w:val="24"/>
        </w:rPr>
        <w:t xml:space="preserve"> </w:t>
      </w:r>
      <w:r>
        <w:rPr>
          <w:rFonts w:hint="eastAsia" w:cs="Times New Roman"/>
          <w:color w:val="auto"/>
          <w:kern w:val="0"/>
          <w:sz w:val="24"/>
          <w:szCs w:val="24"/>
          <w:lang w:val="en-US" w:eastAsia="zh-CN"/>
        </w:rPr>
        <w:t xml:space="preserve">  </w:t>
      </w:r>
      <w:r>
        <w:rPr>
          <w:color w:val="auto"/>
          <w:kern w:val="0"/>
          <w:sz w:val="24"/>
        </w:rPr>
        <w:t xml:space="preserve">  （</w:t>
      </w:r>
      <w:r>
        <w:rPr>
          <w:color w:val="auto"/>
          <w:sz w:val="24"/>
        </w:rPr>
        <w:t>6.2.7-2</w:t>
      </w:r>
      <w:r>
        <w:rPr>
          <w:color w:val="auto"/>
          <w:kern w:val="0"/>
          <w:sz w:val="24"/>
        </w:rPr>
        <w:t>）</w:t>
      </w:r>
    </w:p>
    <w:p>
      <w:pPr>
        <w:spacing w:line="360" w:lineRule="auto"/>
        <w:rPr>
          <w:color w:val="auto"/>
          <w:kern w:val="0"/>
          <w:sz w:val="24"/>
        </w:rPr>
      </w:pPr>
      <w:r>
        <w:rPr>
          <w:color w:val="auto"/>
          <w:kern w:val="0"/>
          <w:sz w:val="24"/>
        </w:rPr>
        <w:t>式中：</w:t>
      </w:r>
      <w:r>
        <w:rPr>
          <w:rFonts w:hint="eastAsia"/>
          <w:color w:val="auto"/>
          <w:kern w:val="0"/>
          <w:sz w:val="24"/>
        </w:rPr>
        <w:t xml:space="preserve">   </w:t>
      </w:r>
      <m:oMath>
        <m:sSub>
          <m:sSubPr>
            <m:ctrlPr>
              <w:rPr>
                <w:rFonts w:hint="default"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m</m:t>
            </m:r>
            <m:ctrlPr>
              <w:rPr>
                <w:rFonts w:hint="default" w:ascii="Cambria Math" w:hAnsi="Cambria Math"/>
                <w:b w:val="0"/>
                <w:i w:val="0"/>
                <w:color w:val="auto"/>
                <w:kern w:val="0"/>
                <w:sz w:val="24"/>
                <w:szCs w:val="24"/>
              </w:rPr>
            </m:ctrlPr>
          </m:e>
          <m:sub>
            <m:r>
              <m:rPr>
                <m:sty m:val="p"/>
              </m:rPr>
              <w:rPr>
                <w:rFonts w:hint="default" w:ascii="Cambria Math" w:hAnsi="Cambria Math"/>
                <w:color w:val="auto"/>
                <w:kern w:val="0"/>
                <w:sz w:val="24"/>
                <w:szCs w:val="24"/>
                <w:vertAlign w:val="subscript"/>
              </w:rPr>
              <m:t>g</m:t>
            </m:r>
            <m:r>
              <m:rPr>
                <m:sty m:val="p"/>
              </m:rPr>
              <w:rPr>
                <w:rFonts w:hint="eastAsia" w:ascii="Cambria Math" w:hAnsi="Cambria Math"/>
                <w:color w:val="auto"/>
                <w:kern w:val="0"/>
                <w:sz w:val="24"/>
                <w:szCs w:val="24"/>
                <w:vertAlign w:val="subscript"/>
              </w:rPr>
              <m:t>o</m:t>
            </m:r>
            <m:ctrlPr>
              <w:rPr>
                <w:rFonts w:hint="default" w:ascii="Cambria Math" w:hAnsi="Cambria Math"/>
                <w:b w:val="0"/>
                <w:i w:val="0"/>
                <w:color w:val="auto"/>
                <w:kern w:val="0"/>
                <w:sz w:val="24"/>
                <w:szCs w:val="24"/>
              </w:rPr>
            </m:ctrlPr>
          </m:sub>
        </m:sSub>
      </m:oMath>
      <w:r>
        <w:rPr>
          <w:rFonts w:hint="eastAsia"/>
          <w:color w:val="auto"/>
          <w:kern w:val="0"/>
          <w:sz w:val="24"/>
        </w:rPr>
        <w:t xml:space="preserve">  </w:t>
      </w:r>
      <w:r>
        <w:rPr>
          <w:color w:val="auto"/>
          <w:kern w:val="0"/>
          <w:sz w:val="24"/>
        </w:rPr>
        <w:t>——计算配合比混凝土的粗骨料用量(kg/m</w:t>
      </w:r>
      <w:r>
        <w:rPr>
          <w:color w:val="auto"/>
          <w:kern w:val="0"/>
          <w:sz w:val="24"/>
          <w:vertAlign w:val="superscript"/>
        </w:rPr>
        <w:t>3</w:t>
      </w:r>
      <w:r>
        <w:rPr>
          <w:color w:val="auto"/>
          <w:kern w:val="0"/>
          <w:sz w:val="24"/>
        </w:rPr>
        <w:t>);</w:t>
      </w:r>
    </w:p>
    <w:p>
      <w:pPr>
        <w:spacing w:line="360" w:lineRule="auto"/>
        <w:ind w:left="960" w:hanging="960" w:hangingChars="400"/>
        <w:rPr>
          <w:color w:val="auto"/>
          <w:kern w:val="0"/>
          <w:sz w:val="24"/>
        </w:rPr>
      </w:pPr>
      <w:r>
        <w:rPr>
          <w:color w:val="auto"/>
          <w:kern w:val="0"/>
          <w:sz w:val="24"/>
        </w:rPr>
        <w:t xml:space="preserve">      </w:t>
      </w:r>
      <w:r>
        <w:rPr>
          <w:rFonts w:hint="eastAsia"/>
          <w:color w:val="auto"/>
          <w:kern w:val="0"/>
          <w:sz w:val="24"/>
        </w:rPr>
        <w:t xml:space="preserve">   </w:t>
      </w:r>
      <w:r>
        <w:rPr>
          <w:rFonts w:hint="eastAsia" w:cs="Times New Roman"/>
          <w:color w:val="auto"/>
          <w:kern w:val="0"/>
          <w:sz w:val="24"/>
          <w:szCs w:val="24"/>
          <w:lang w:val="en-US" w:eastAsia="zh-CN"/>
        </w:rPr>
        <w:t xml:space="preserve"> </w:t>
      </w:r>
      <m:oMath>
        <m:sSub>
          <m:sSubPr>
            <m:ctrlPr>
              <w:rPr>
                <w:rFonts w:hint="default" w:ascii="Cambria Math" w:hAnsi="Cambria Math"/>
                <w:b w:val="0"/>
                <w:i w:val="0"/>
                <w:color w:val="auto"/>
                <w:kern w:val="0"/>
                <w:sz w:val="24"/>
                <w:szCs w:val="24"/>
                <w:vertAlign w:val="subscript"/>
              </w:rPr>
            </m:ctrlPr>
          </m:sSubPr>
          <m:e>
            <m:r>
              <m:rPr>
                <m:sty m:val="p"/>
              </m:rPr>
              <w:rPr>
                <w:rFonts w:hint="default" w:ascii="Cambria Math" w:hAnsi="Cambria Math"/>
                <w:color w:val="auto"/>
                <w:kern w:val="0"/>
                <w:sz w:val="24"/>
                <w:szCs w:val="24"/>
              </w:rPr>
              <m:t>m</m:t>
            </m:r>
            <m:ctrlPr>
              <w:rPr>
                <w:rFonts w:hint="default" w:ascii="Cambria Math" w:hAnsi="Cambria Math"/>
                <w:b w:val="0"/>
                <w:i w:val="0"/>
                <w:color w:val="auto"/>
                <w:kern w:val="0"/>
                <w:sz w:val="24"/>
                <w:szCs w:val="24"/>
                <w:vertAlign w:val="subscript"/>
              </w:rPr>
            </m:ctrlPr>
          </m:e>
          <m:sub>
            <m:r>
              <m:rPr>
                <m:sty m:val="p"/>
              </m:rPr>
              <w:rPr>
                <w:rFonts w:hint="default" w:ascii="Cambria Math" w:hAnsi="Cambria Math"/>
                <w:color w:val="auto"/>
                <w:kern w:val="0"/>
                <w:sz w:val="24"/>
                <w:szCs w:val="24"/>
                <w:vertAlign w:val="subscript"/>
              </w:rPr>
              <m:t>s</m:t>
            </m:r>
            <m:r>
              <m:rPr>
                <m:sty m:val="p"/>
              </m:rPr>
              <w:rPr>
                <w:rFonts w:hint="eastAsia" w:ascii="Cambria Math" w:hAnsi="Cambria Math"/>
                <w:color w:val="auto"/>
                <w:kern w:val="0"/>
                <w:sz w:val="24"/>
                <w:szCs w:val="24"/>
                <w:vertAlign w:val="subscript"/>
              </w:rPr>
              <m:t>o</m:t>
            </m:r>
            <m:ctrlPr>
              <w:rPr>
                <w:rFonts w:hint="default" w:ascii="Cambria Math" w:hAnsi="Cambria Math"/>
                <w:b w:val="0"/>
                <w:i w:val="0"/>
                <w:color w:val="auto"/>
                <w:kern w:val="0"/>
                <w:sz w:val="24"/>
                <w:szCs w:val="24"/>
                <w:vertAlign w:val="subscript"/>
              </w:rPr>
            </m:ctrlPr>
          </m:sub>
        </m:sSub>
      </m:oMath>
      <w:r>
        <w:rPr>
          <w:rFonts w:hint="eastAsia"/>
          <w:color w:val="auto"/>
          <w:kern w:val="0"/>
          <w:sz w:val="24"/>
        </w:rPr>
        <w:t xml:space="preserve">  </w:t>
      </w:r>
      <w:r>
        <w:rPr>
          <w:color w:val="auto"/>
          <w:kern w:val="0"/>
          <w:sz w:val="24"/>
        </w:rPr>
        <w:t>——计算配合比混凝土的细骨料用量(kg/m</w:t>
      </w:r>
      <w:r>
        <w:rPr>
          <w:color w:val="auto"/>
          <w:kern w:val="0"/>
          <w:sz w:val="24"/>
          <w:vertAlign w:val="superscript"/>
        </w:rPr>
        <w:t>3</w:t>
      </w:r>
      <w:r>
        <w:rPr>
          <w:color w:val="auto"/>
          <w:kern w:val="0"/>
          <w:sz w:val="24"/>
        </w:rPr>
        <w:t>);</w:t>
      </w:r>
    </w:p>
    <w:p>
      <w:pPr>
        <w:spacing w:line="360" w:lineRule="auto"/>
        <w:ind w:left="958" w:leftChars="456"/>
        <w:rPr>
          <w:color w:val="auto"/>
          <w:kern w:val="0"/>
          <w:sz w:val="24"/>
        </w:rPr>
      </w:pPr>
      <w:r>
        <w:rPr>
          <w:rFonts w:hint="default" w:ascii="Times New Roman" w:hAnsi="Times New Roman" w:cs="Times New Roman"/>
          <w:color w:val="auto"/>
          <w:kern w:val="0"/>
          <w:sz w:val="24"/>
          <w:szCs w:val="24"/>
        </w:rPr>
        <w:t>β</w:t>
      </w:r>
      <w:r>
        <w:rPr>
          <w:rFonts w:hint="default" w:ascii="Times New Roman" w:hAnsi="Times New Roman" w:cs="Times New Roman"/>
          <w:color w:val="auto"/>
          <w:kern w:val="0"/>
          <w:sz w:val="24"/>
          <w:szCs w:val="24"/>
          <w:vertAlign w:val="subscript"/>
        </w:rPr>
        <w:t>s</w:t>
      </w:r>
      <w:r>
        <w:rPr>
          <w:rFonts w:hint="eastAsia" w:cs="Times New Roman"/>
          <w:color w:val="auto"/>
          <w:kern w:val="0"/>
          <w:sz w:val="24"/>
          <w:szCs w:val="24"/>
          <w:lang w:val="en-US" w:eastAsia="zh-CN"/>
        </w:rPr>
        <w:t xml:space="preserve"> </w:t>
      </w:r>
      <w:r>
        <w:rPr>
          <w:rFonts w:hint="eastAsia"/>
          <w:color w:val="auto"/>
          <w:kern w:val="0"/>
          <w:sz w:val="24"/>
        </w:rPr>
        <w:t xml:space="preserve">  </w:t>
      </w:r>
      <w:r>
        <w:rPr>
          <w:color w:val="auto"/>
          <w:kern w:val="0"/>
          <w:sz w:val="24"/>
        </w:rPr>
        <w:t>——砂率(%);</w:t>
      </w:r>
    </w:p>
    <w:p>
      <w:pPr>
        <w:spacing w:line="360" w:lineRule="auto"/>
        <w:ind w:left="1"/>
        <w:rPr>
          <w:color w:val="auto"/>
          <w:kern w:val="0"/>
          <w:sz w:val="24"/>
        </w:rPr>
      </w:pPr>
      <w:r>
        <w:rPr>
          <w:color w:val="auto"/>
          <w:kern w:val="0"/>
          <w:sz w:val="24"/>
        </w:rPr>
        <w:t xml:space="preserve">    </w:t>
      </w:r>
      <w:r>
        <w:rPr>
          <w:rFonts w:hint="eastAsia"/>
          <w:color w:val="auto"/>
          <w:kern w:val="0"/>
          <w:sz w:val="24"/>
        </w:rPr>
        <w:t xml:space="preserve"> </w:t>
      </w:r>
      <w:r>
        <w:rPr>
          <w:color w:val="auto"/>
          <w:kern w:val="0"/>
          <w:sz w:val="24"/>
        </w:rPr>
        <w:t xml:space="preserve"> </w:t>
      </w:r>
      <w:r>
        <w:rPr>
          <w:rFonts w:hint="eastAsia" w:cs="Times New Roman"/>
          <w:color w:val="auto"/>
          <w:kern w:val="0"/>
          <w:sz w:val="24"/>
          <w:szCs w:val="24"/>
          <w:lang w:val="en-US" w:eastAsia="zh-CN"/>
        </w:rPr>
        <w:t xml:space="preserve"> </w:t>
      </w:r>
      <m:oMath>
        <m:sSub>
          <m:sSubPr>
            <m:ctrlPr>
              <w:rPr>
                <w:rFonts w:hint="default"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rPr>
            </m:ctrlPr>
          </m:e>
          <m:sub>
            <m:r>
              <m:rPr>
                <m:sty m:val="p"/>
              </m:rPr>
              <w:rPr>
                <w:rFonts w:hint="default" w:ascii="Cambria Math" w:hAnsi="Cambria Math"/>
                <w:color w:val="auto"/>
                <w:kern w:val="0"/>
                <w:sz w:val="24"/>
                <w:szCs w:val="24"/>
                <w:vertAlign w:val="subscript"/>
              </w:rPr>
              <m:t>c</m:t>
            </m:r>
            <m:ctrlPr>
              <w:rPr>
                <w:rFonts w:hint="default" w:ascii="Cambria Math" w:hAnsi="Cambria Math"/>
                <w:b w:val="0"/>
                <w:i w:val="0"/>
                <w:color w:val="auto"/>
                <w:kern w:val="0"/>
                <w:sz w:val="24"/>
                <w:szCs w:val="24"/>
              </w:rPr>
            </m:ctrlPr>
          </m:sub>
        </m:sSub>
      </m:oMath>
      <w:r>
        <w:rPr>
          <w:rFonts w:hint="eastAsia"/>
          <w:color w:val="auto"/>
          <w:kern w:val="0"/>
          <w:sz w:val="24"/>
        </w:rPr>
        <w:t xml:space="preserve">  </w:t>
      </w:r>
      <w:r>
        <w:rPr>
          <w:color w:val="auto"/>
          <w:kern w:val="0"/>
          <w:sz w:val="24"/>
        </w:rPr>
        <w:t>——水泥密度(kg/m</w:t>
      </w:r>
      <w:r>
        <w:rPr>
          <w:color w:val="auto"/>
          <w:kern w:val="0"/>
          <w:sz w:val="24"/>
          <w:vertAlign w:val="superscript"/>
        </w:rPr>
        <w:t>3</w:t>
      </w:r>
      <w:r>
        <w:rPr>
          <w:color w:val="auto"/>
          <w:kern w:val="0"/>
          <w:sz w:val="24"/>
        </w:rPr>
        <w:t>),</w:t>
      </w:r>
      <w:r>
        <w:rPr>
          <w:rFonts w:hint="eastAsia"/>
          <w:color w:val="auto"/>
          <w:kern w:val="0"/>
          <w:sz w:val="24"/>
          <w:lang w:eastAsia="zh-CN"/>
        </w:rPr>
        <w:t>应</w:t>
      </w:r>
      <w:r>
        <w:rPr>
          <w:color w:val="auto"/>
          <w:kern w:val="0"/>
          <w:sz w:val="24"/>
        </w:rPr>
        <w:t>按现行国家标准《水泥密度测定方法》GB/T208测定；也可取（2900 -3100）kg/m</w:t>
      </w:r>
      <w:r>
        <w:rPr>
          <w:color w:val="auto"/>
          <w:kern w:val="0"/>
          <w:sz w:val="24"/>
          <w:vertAlign w:val="superscript"/>
        </w:rPr>
        <w:t>3</w:t>
      </w:r>
      <w:r>
        <w:rPr>
          <w:color w:val="auto"/>
          <w:kern w:val="0"/>
          <w:sz w:val="24"/>
        </w:rPr>
        <w:t>;</w:t>
      </w:r>
    </w:p>
    <w:p>
      <w:pPr>
        <w:spacing w:line="360" w:lineRule="auto"/>
        <w:ind w:left="1"/>
        <w:rPr>
          <w:color w:val="auto"/>
          <w:kern w:val="0"/>
          <w:sz w:val="24"/>
        </w:rPr>
      </w:pPr>
      <w:r>
        <w:rPr>
          <w:color w:val="auto"/>
          <w:kern w:val="0"/>
          <w:sz w:val="24"/>
        </w:rPr>
        <w:t xml:space="preserve">     </w:t>
      </w:r>
      <m:oMath>
        <m:sSub>
          <m:sSubPr>
            <m:ctrlPr>
              <w:rPr>
                <w:rFonts w:hint="eastAsia"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eastAsia" w:ascii="Cambria Math" w:hAnsi="Cambria Math"/>
                <w:b w:val="0"/>
                <w:i w:val="0"/>
                <w:color w:val="auto"/>
                <w:kern w:val="0"/>
                <w:sz w:val="24"/>
                <w:szCs w:val="24"/>
              </w:rPr>
            </m:ctrlPr>
          </m:e>
          <m:sub>
            <m:r>
              <m:rPr>
                <m:sty m:val="p"/>
              </m:rPr>
              <w:rPr>
                <w:rFonts w:hint="eastAsia" w:ascii="Cambria Math" w:hAnsi="Cambria Math"/>
                <w:color w:val="auto"/>
                <w:kern w:val="0"/>
                <w:sz w:val="24"/>
                <w:szCs w:val="24"/>
              </w:rPr>
              <m:t>f</m:t>
            </m:r>
            <m:ctrlPr>
              <w:rPr>
                <w:rFonts w:hint="eastAsia" w:ascii="Cambria Math" w:hAnsi="Cambria Math"/>
                <w:b w:val="0"/>
                <w:i w:val="0"/>
                <w:color w:val="auto"/>
                <w:kern w:val="0"/>
                <w:sz w:val="24"/>
                <w:szCs w:val="24"/>
              </w:rPr>
            </m:ctrlPr>
          </m:sub>
        </m:sSub>
      </m:oMath>
      <w:r>
        <w:rPr>
          <w:rFonts w:hint="eastAsia"/>
          <w:color w:val="auto"/>
          <w:kern w:val="0"/>
          <w:sz w:val="24"/>
        </w:rPr>
        <w:t xml:space="preserve"> </w:t>
      </w:r>
      <w:r>
        <w:rPr>
          <w:color w:val="auto"/>
          <w:kern w:val="0"/>
          <w:sz w:val="24"/>
        </w:rPr>
        <w:t>——矿物掺合料密度(kg/m</w:t>
      </w:r>
      <w:r>
        <w:rPr>
          <w:color w:val="auto"/>
          <w:kern w:val="0"/>
          <w:sz w:val="24"/>
          <w:vertAlign w:val="superscript"/>
        </w:rPr>
        <w:t>3</w:t>
      </w:r>
      <w:r>
        <w:rPr>
          <w:color w:val="auto"/>
          <w:kern w:val="0"/>
          <w:sz w:val="24"/>
        </w:rPr>
        <w:t>),</w:t>
      </w:r>
      <w:r>
        <w:rPr>
          <w:rFonts w:hint="eastAsia"/>
          <w:color w:val="auto"/>
          <w:kern w:val="0"/>
          <w:sz w:val="24"/>
          <w:lang w:eastAsia="zh-CN"/>
        </w:rPr>
        <w:t>应</w:t>
      </w:r>
      <w:r>
        <w:rPr>
          <w:color w:val="auto"/>
          <w:kern w:val="0"/>
          <w:sz w:val="24"/>
        </w:rPr>
        <w:t>按现行国家标准《水泥密度测定方法》GB/T208测定；</w:t>
      </w:r>
    </w:p>
    <w:p>
      <w:pPr>
        <w:spacing w:line="360" w:lineRule="auto"/>
        <w:ind w:left="1"/>
        <w:rPr>
          <w:color w:val="auto"/>
          <w:kern w:val="0"/>
          <w:sz w:val="24"/>
        </w:rPr>
      </w:pPr>
      <w:r>
        <w:rPr>
          <w:color w:val="auto"/>
          <w:kern w:val="0"/>
          <w:sz w:val="24"/>
        </w:rPr>
        <w:t xml:space="preserve">    </w:t>
      </w:r>
      <w:r>
        <w:rPr>
          <w:rFonts w:hint="eastAsia"/>
          <w:color w:val="auto"/>
          <w:kern w:val="0"/>
          <w:sz w:val="24"/>
        </w:rPr>
        <w:t xml:space="preserve"> </w:t>
      </w:r>
      <w:r>
        <w:rPr>
          <w:color w:val="auto"/>
          <w:kern w:val="0"/>
          <w:sz w:val="24"/>
        </w:rPr>
        <w:t xml:space="preserve"> </w:t>
      </w:r>
      <m:oMath>
        <m:sSub>
          <m:sSubPr>
            <m:ctrlPr>
              <w:rPr>
                <w:rFonts w:hint="default"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rPr>
            </m:ctrlPr>
          </m:e>
          <m:sub>
            <m:r>
              <m:rPr>
                <m:sty m:val="p"/>
              </m:rPr>
              <w:rPr>
                <w:rFonts w:hint="default" w:ascii="Cambria Math" w:hAnsi="Cambria Math"/>
                <w:color w:val="auto"/>
                <w:kern w:val="0"/>
                <w:sz w:val="24"/>
                <w:szCs w:val="24"/>
                <w:vertAlign w:val="subscript"/>
              </w:rPr>
              <m:t>g</m:t>
            </m:r>
            <m:ctrlPr>
              <w:rPr>
                <w:rFonts w:hint="default" w:ascii="Cambria Math" w:hAnsi="Cambria Math"/>
                <w:b w:val="0"/>
                <w:i w:val="0"/>
                <w:color w:val="auto"/>
                <w:kern w:val="0"/>
                <w:sz w:val="24"/>
                <w:szCs w:val="24"/>
              </w:rPr>
            </m:ctrlPr>
          </m:sub>
        </m:sSub>
      </m:oMath>
      <w:r>
        <w:rPr>
          <w:color w:val="auto"/>
          <w:kern w:val="0"/>
          <w:sz w:val="24"/>
        </w:rPr>
        <w:t>——粗骨料的表观密度(kg/m</w:t>
      </w:r>
      <w:r>
        <w:rPr>
          <w:color w:val="auto"/>
          <w:kern w:val="0"/>
          <w:sz w:val="24"/>
          <w:vertAlign w:val="superscript"/>
        </w:rPr>
        <w:t>3</w:t>
      </w:r>
      <w:r>
        <w:rPr>
          <w:color w:val="auto"/>
          <w:kern w:val="0"/>
          <w:sz w:val="24"/>
        </w:rPr>
        <w:t>),</w:t>
      </w:r>
      <w:r>
        <w:rPr>
          <w:rFonts w:hint="eastAsia"/>
          <w:color w:val="auto"/>
          <w:kern w:val="0"/>
          <w:sz w:val="24"/>
          <w:lang w:eastAsia="zh-CN"/>
        </w:rPr>
        <w:t>应</w:t>
      </w:r>
      <w:r>
        <w:rPr>
          <w:color w:val="auto"/>
          <w:kern w:val="0"/>
          <w:sz w:val="24"/>
        </w:rPr>
        <w:t>按现行行业标准《普通混凝土用砂、石质量及检验方法标准》JGJ52测定；</w:t>
      </w:r>
    </w:p>
    <w:p>
      <w:pPr>
        <w:spacing w:line="360" w:lineRule="auto"/>
        <w:ind w:left="1" w:firstLine="480" w:firstLineChars="200"/>
        <w:rPr>
          <w:color w:val="auto"/>
          <w:kern w:val="0"/>
          <w:sz w:val="24"/>
        </w:rPr>
      </w:pPr>
      <m:oMath>
        <m:sSub>
          <m:sSubPr>
            <m:ctrlPr>
              <w:rPr>
                <w:rFonts w:hint="default" w:ascii="Cambria Math" w:hAnsi="Cambria Math"/>
                <w:b w:val="0"/>
                <w:i w:val="0"/>
                <w:color w:val="auto"/>
                <w:kern w:val="0"/>
                <w:sz w:val="24"/>
                <w:szCs w:val="24"/>
                <w:vertAlign w:val="subscript"/>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vertAlign w:val="subscript"/>
              </w:rPr>
            </m:ctrlPr>
          </m:e>
          <m:sub>
            <m:r>
              <m:rPr>
                <m:sty m:val="p"/>
              </m:rPr>
              <w:rPr>
                <w:rFonts w:hint="default" w:ascii="Cambria Math" w:hAnsi="Cambria Math"/>
                <w:color w:val="auto"/>
                <w:kern w:val="0"/>
                <w:sz w:val="24"/>
                <w:szCs w:val="24"/>
                <w:vertAlign w:val="subscript"/>
              </w:rPr>
              <m:t>s</m:t>
            </m:r>
            <m:ctrlPr>
              <w:rPr>
                <w:rFonts w:hint="default" w:ascii="Cambria Math" w:hAnsi="Cambria Math"/>
                <w:b w:val="0"/>
                <w:i w:val="0"/>
                <w:color w:val="auto"/>
                <w:kern w:val="0"/>
                <w:sz w:val="24"/>
                <w:szCs w:val="24"/>
                <w:vertAlign w:val="subscript"/>
              </w:rPr>
            </m:ctrlPr>
          </m:sub>
        </m:sSub>
      </m:oMath>
      <w:r>
        <w:rPr>
          <w:rFonts w:hint="default" w:ascii="Times New Roman" w:hAnsi="Times New Roman" w:cs="Times New Roman"/>
          <w:color w:val="auto"/>
          <w:kern w:val="0"/>
          <w:sz w:val="24"/>
          <w:szCs w:val="24"/>
        </w:rPr>
        <w:t xml:space="preserve"> </w:t>
      </w:r>
      <w:r>
        <w:rPr>
          <w:color w:val="auto"/>
          <w:kern w:val="0"/>
          <w:sz w:val="24"/>
        </w:rPr>
        <w:t xml:space="preserve"> ——细骨料的表观密度(kg/m</w:t>
      </w:r>
      <w:r>
        <w:rPr>
          <w:color w:val="auto"/>
          <w:kern w:val="0"/>
          <w:sz w:val="24"/>
          <w:vertAlign w:val="superscript"/>
        </w:rPr>
        <w:t>3</w:t>
      </w:r>
      <w:r>
        <w:rPr>
          <w:color w:val="auto"/>
          <w:kern w:val="0"/>
          <w:sz w:val="24"/>
        </w:rPr>
        <w:t>),</w:t>
      </w:r>
      <w:r>
        <w:rPr>
          <w:rFonts w:hint="eastAsia"/>
          <w:color w:val="auto"/>
          <w:kern w:val="0"/>
          <w:sz w:val="24"/>
          <w:lang w:eastAsia="zh-CN"/>
        </w:rPr>
        <w:t>应</w:t>
      </w:r>
      <w:r>
        <w:rPr>
          <w:color w:val="auto"/>
          <w:kern w:val="0"/>
          <w:sz w:val="24"/>
        </w:rPr>
        <w:t>按现行行业标准《普通混凝土用砂、石质量及检验方法标准》JGJ52测定；</w:t>
      </w:r>
    </w:p>
    <w:p>
      <w:pPr>
        <w:spacing w:line="360" w:lineRule="auto"/>
        <w:ind w:left="1680" w:hanging="1680" w:hangingChars="700"/>
        <w:rPr>
          <w:color w:val="auto"/>
          <w:kern w:val="0"/>
          <w:sz w:val="24"/>
        </w:rPr>
      </w:pPr>
      <w:r>
        <w:rPr>
          <w:color w:val="auto"/>
          <w:kern w:val="0"/>
          <w:sz w:val="24"/>
        </w:rPr>
        <w:t xml:space="preserve">   </w:t>
      </w:r>
      <w:r>
        <w:rPr>
          <w:rFonts w:hint="eastAsia"/>
          <w:color w:val="auto"/>
          <w:kern w:val="0"/>
          <w:sz w:val="24"/>
        </w:rPr>
        <w:t xml:space="preserve"> </w:t>
      </w:r>
      <w:r>
        <w:rPr>
          <w:rFonts w:hint="eastAsia" w:cs="Times New Roman"/>
          <w:color w:val="auto"/>
          <w:kern w:val="0"/>
          <w:sz w:val="24"/>
          <w:szCs w:val="24"/>
          <w:lang w:val="en-US" w:eastAsia="zh-CN"/>
        </w:rPr>
        <w:t xml:space="preserve"> </w:t>
      </w:r>
      <m:oMath>
        <m:sSub>
          <m:sSubPr>
            <m:ctrlPr>
              <w:rPr>
                <w:rFonts w:hint="default"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rPr>
            </m:ctrlPr>
          </m:e>
          <m:sub>
            <m:r>
              <m:rPr>
                <m:sty m:val="p"/>
              </m:rPr>
              <w:rPr>
                <w:rFonts w:hint="default" w:ascii="Cambria Math" w:hAnsi="Cambria Math"/>
                <w:color w:val="auto"/>
                <w:kern w:val="0"/>
                <w:sz w:val="24"/>
                <w:szCs w:val="24"/>
                <w:vertAlign w:val="subscript"/>
              </w:rPr>
              <m:t>w</m:t>
            </m:r>
            <m:ctrlPr>
              <w:rPr>
                <w:rFonts w:hint="default" w:ascii="Cambria Math" w:hAnsi="Cambria Math"/>
                <w:b w:val="0"/>
                <w:i w:val="0"/>
                <w:color w:val="auto"/>
                <w:kern w:val="0"/>
                <w:sz w:val="24"/>
                <w:szCs w:val="24"/>
              </w:rPr>
            </m:ctrlPr>
          </m:sub>
        </m:sSub>
      </m:oMath>
      <w:r>
        <w:rPr>
          <w:color w:val="auto"/>
          <w:kern w:val="0"/>
          <w:sz w:val="24"/>
        </w:rPr>
        <w:t xml:space="preserve"> </w:t>
      </w:r>
      <w:r>
        <w:rPr>
          <w:rFonts w:hint="eastAsia"/>
          <w:color w:val="auto"/>
          <w:kern w:val="0"/>
          <w:sz w:val="24"/>
        </w:rPr>
        <w:t xml:space="preserve"> </w:t>
      </w:r>
      <w:r>
        <w:rPr>
          <w:color w:val="auto"/>
          <w:kern w:val="0"/>
          <w:sz w:val="24"/>
        </w:rPr>
        <w:t>——水的密度(kg/m</w:t>
      </w:r>
      <w:r>
        <w:rPr>
          <w:color w:val="auto"/>
          <w:kern w:val="0"/>
          <w:sz w:val="24"/>
          <w:vertAlign w:val="superscript"/>
        </w:rPr>
        <w:t>3</w:t>
      </w:r>
      <w:r>
        <w:rPr>
          <w:color w:val="auto"/>
          <w:kern w:val="0"/>
          <w:sz w:val="24"/>
        </w:rPr>
        <w:t>),可取1000kg/m</w:t>
      </w:r>
      <w:r>
        <w:rPr>
          <w:color w:val="auto"/>
          <w:kern w:val="0"/>
          <w:sz w:val="24"/>
          <w:vertAlign w:val="superscript"/>
        </w:rPr>
        <w:t>3</w:t>
      </w:r>
      <w:r>
        <w:rPr>
          <w:color w:val="auto"/>
          <w:kern w:val="0"/>
          <w:sz w:val="24"/>
        </w:rPr>
        <w:t>;</w:t>
      </w:r>
    </w:p>
    <w:p>
      <w:pPr>
        <w:spacing w:line="360" w:lineRule="auto"/>
        <w:ind w:left="2" w:firstLine="804" w:firstLineChars="335"/>
        <w:rPr>
          <w:color w:val="auto"/>
          <w:kern w:val="0"/>
          <w:sz w:val="24"/>
        </w:rPr>
      </w:pPr>
      <w:r>
        <w:rPr>
          <w:color w:val="auto"/>
          <w:kern w:val="0"/>
          <w:sz w:val="24"/>
        </w:rPr>
        <w:t>α</w:t>
      </w:r>
      <w:r>
        <w:rPr>
          <w:rFonts w:hint="eastAsia"/>
          <w:color w:val="auto"/>
          <w:kern w:val="0"/>
          <w:sz w:val="24"/>
        </w:rPr>
        <w:t xml:space="preserve"> </w:t>
      </w:r>
      <w:r>
        <w:rPr>
          <w:color w:val="auto"/>
          <w:kern w:val="0"/>
          <w:sz w:val="24"/>
        </w:rPr>
        <w:t>——混凝土的含气量百分数,在不使用引气剂或引气型外加剂时,α可取为1，使用引气剂或引气型外加剂时应经试验确定。</w:t>
      </w:r>
    </w:p>
    <w:p>
      <w:pPr>
        <w:spacing w:line="360" w:lineRule="auto"/>
        <w:ind w:left="2" w:firstLine="487" w:firstLineChars="202"/>
        <w:rPr>
          <w:color w:val="auto"/>
          <w:kern w:val="0"/>
          <w:sz w:val="24"/>
        </w:rPr>
      </w:pPr>
      <w:r>
        <w:rPr>
          <w:b/>
          <w:bCs/>
          <w:color w:val="auto"/>
          <w:kern w:val="0"/>
          <w:sz w:val="24"/>
        </w:rPr>
        <w:t>2</w:t>
      </w:r>
      <w:r>
        <w:rPr>
          <w:color w:val="auto"/>
          <w:kern w:val="0"/>
          <w:sz w:val="24"/>
        </w:rPr>
        <w:t xml:space="preserve"> 采用砂浆剩余系数计算粗、细骨料用量时，可按式 6.2.7-3、式6.2.7-4计算：</w:t>
      </w:r>
    </w:p>
    <w:p>
      <w:pPr>
        <w:spacing w:line="360" w:lineRule="auto"/>
        <w:ind w:left="1"/>
        <w:jc w:val="center"/>
        <w:rPr>
          <w:color w:val="auto"/>
          <w:kern w:val="0"/>
          <w:sz w:val="24"/>
        </w:rPr>
      </w:pPr>
      <m:oMath>
        <m:sSub>
          <m:sSubPr>
            <m:ctrlPr>
              <w:rPr>
                <w:rFonts w:hint="default" w:ascii="Cambria Math" w:hAnsi="Cambria Math"/>
                <w:b w:val="0"/>
                <w:i w:val="0"/>
                <w:color w:val="auto"/>
                <w:kern w:val="0"/>
                <w:sz w:val="28"/>
                <w:szCs w:val="28"/>
              </w:rPr>
            </m:ctrlPr>
          </m:sSubPr>
          <m:e>
            <m:r>
              <m:rPr>
                <m:sty m:val="p"/>
              </m:rPr>
              <w:rPr>
                <w:rFonts w:hint="default" w:ascii="Cambria Math" w:hAnsi="Cambria Math"/>
                <w:color w:val="auto"/>
                <w:kern w:val="0"/>
                <w:sz w:val="28"/>
                <w:szCs w:val="28"/>
              </w:rPr>
              <m:t>m</m:t>
            </m:r>
            <m:ctrlPr>
              <w:rPr>
                <w:rFonts w:hint="default" w:ascii="Cambria Math" w:hAnsi="Cambria Math"/>
                <w:b w:val="0"/>
                <w:i w:val="0"/>
                <w:color w:val="auto"/>
                <w:kern w:val="0"/>
                <w:sz w:val="28"/>
                <w:szCs w:val="28"/>
              </w:rPr>
            </m:ctrlPr>
          </m:e>
          <m:sub>
            <m:r>
              <m:rPr>
                <m:sty m:val="p"/>
              </m:rPr>
              <w:rPr>
                <w:rFonts w:hint="default" w:ascii="Cambria Math" w:hAnsi="Cambria Math"/>
                <w:color w:val="auto"/>
                <w:kern w:val="0"/>
                <w:sz w:val="28"/>
                <w:szCs w:val="28"/>
                <w:vertAlign w:val="subscript"/>
              </w:rPr>
              <m:t>g</m:t>
            </m:r>
            <m:r>
              <m:rPr>
                <m:sty m:val="p"/>
              </m:rPr>
              <w:rPr>
                <w:rFonts w:hint="eastAsia" w:ascii="Cambria Math" w:hAnsi="Cambria Math"/>
                <w:color w:val="auto"/>
                <w:kern w:val="0"/>
                <w:sz w:val="28"/>
                <w:szCs w:val="28"/>
                <w:vertAlign w:val="subscript"/>
              </w:rPr>
              <m:t>o</m:t>
            </m:r>
            <m:ctrlPr>
              <w:rPr>
                <w:rFonts w:hint="default" w:ascii="Cambria Math" w:hAnsi="Cambria Math"/>
                <w:b w:val="0"/>
                <w:i w:val="0"/>
                <w:color w:val="auto"/>
                <w:kern w:val="0"/>
                <w:sz w:val="28"/>
                <w:szCs w:val="28"/>
              </w:rPr>
            </m:ctrlPr>
          </m:sub>
        </m:sSub>
      </m:oMath>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vertAlign w:val="subscript"/>
        </w:rPr>
        <w:t>=</w:t>
      </w:r>
      <w:r>
        <w:rPr>
          <w:rFonts w:hint="default" w:ascii="Times New Roman" w:hAnsi="Times New Roman" w:cs="Times New Roman"/>
          <w:color w:val="auto"/>
          <w:kern w:val="0"/>
          <w:sz w:val="24"/>
          <w:szCs w:val="24"/>
        </w:rPr>
        <w:t xml:space="preserve">   </w:t>
      </w:r>
      <m:oMath>
        <m:f>
          <m:fPr>
            <m:ctrlPr>
              <w:rPr>
                <w:rFonts w:hint="default" w:ascii="Cambria Math" w:hAnsi="Cambria Math"/>
                <w:color w:val="auto"/>
                <w:kern w:val="0"/>
                <w:sz w:val="28"/>
                <w:szCs w:val="28"/>
                <w:vertAlign w:val="subscript"/>
              </w:rPr>
            </m:ctrlPr>
          </m:fPr>
          <m:num>
            <m:r>
              <m:rPr/>
              <w:rPr>
                <w:rFonts w:hint="eastAsia" w:ascii="Cambria Math" w:hAnsi="Cambria Math"/>
                <w:color w:val="auto"/>
                <w:kern w:val="0"/>
                <w:sz w:val="28"/>
                <w:szCs w:val="28"/>
                <w:vertAlign w:val="subscript"/>
              </w:rPr>
              <m:t>1000</m:t>
            </m:r>
            <m:ctrlPr>
              <w:rPr>
                <w:rFonts w:hint="default" w:ascii="Cambria Math" w:hAnsi="Cambria Math"/>
                <w:color w:val="auto"/>
                <w:kern w:val="0"/>
                <w:sz w:val="28"/>
                <w:szCs w:val="28"/>
                <w:vertAlign w:val="subscript"/>
              </w:rPr>
            </m:ctrlPr>
          </m:num>
          <m:den>
            <m:r>
              <m:rPr/>
              <w:rPr>
                <w:rFonts w:hint="eastAsia" w:ascii="Cambria Math" w:hAnsi="Cambria Math"/>
                <w:color w:val="auto"/>
                <w:kern w:val="0"/>
                <w:sz w:val="28"/>
                <w:szCs w:val="28"/>
                <w:vertAlign w:val="subscript"/>
              </w:rPr>
              <m:t>1+K</m:t>
            </m:r>
            <m:r>
              <m:rPr/>
              <w:rPr>
                <w:rFonts w:hint="default" w:ascii="Cambria Math" w:hAnsi="Cambria Math"/>
                <w:color w:val="auto"/>
                <w:kern w:val="0"/>
                <w:sz w:val="28"/>
                <w:szCs w:val="28"/>
                <w:vertAlign w:val="subscript"/>
              </w:rPr>
              <m:t>∙</m:t>
            </m:r>
            <m:f>
              <m:fPr>
                <m:ctrlPr>
                  <w:rPr>
                    <w:rFonts w:hint="default" w:ascii="Cambria Math" w:hAnsi="Cambria Math"/>
                    <w:i/>
                    <w:color w:val="auto"/>
                    <w:kern w:val="0"/>
                    <w:sz w:val="28"/>
                    <w:szCs w:val="28"/>
                    <w:vertAlign w:val="subscript"/>
                  </w:rPr>
                </m:ctrlPr>
              </m:fPr>
              <m:num>
                <m:r>
                  <m:rPr/>
                  <w:rPr>
                    <w:rFonts w:hint="eastAsia" w:ascii="Cambria Math" w:hAnsi="Cambria Math"/>
                    <w:color w:val="auto"/>
                    <w:kern w:val="0"/>
                    <w:sz w:val="28"/>
                    <w:szCs w:val="28"/>
                    <w:vertAlign w:val="subscript"/>
                  </w:rPr>
                  <m:t>P</m:t>
                </m:r>
                <m:ctrlPr>
                  <w:rPr>
                    <w:rFonts w:hint="default" w:ascii="Cambria Math" w:hAnsi="Cambria Math"/>
                    <w:i/>
                    <w:color w:val="auto"/>
                    <w:kern w:val="0"/>
                    <w:sz w:val="28"/>
                    <w:szCs w:val="28"/>
                    <w:vertAlign w:val="subscript"/>
                  </w:rPr>
                </m:ctrlPr>
              </m:num>
              <m:den>
                <m:r>
                  <m:rPr/>
                  <w:rPr>
                    <w:rFonts w:hint="eastAsia" w:ascii="Cambria Math" w:hAnsi="Cambria Math"/>
                    <w:color w:val="auto"/>
                    <w:kern w:val="0"/>
                    <w:sz w:val="28"/>
                    <w:szCs w:val="28"/>
                    <w:vertAlign w:val="subscript"/>
                  </w:rPr>
                  <m:t>1</m:t>
                </m:r>
                <m:r>
                  <m:rPr/>
                  <w:rPr>
                    <w:rFonts w:hint="eastAsia" w:ascii="微软雅黑" w:hAnsi="微软雅黑" w:eastAsia="微软雅黑" w:cs="微软雅黑"/>
                    <w:color w:val="auto"/>
                    <w:kern w:val="0"/>
                    <w:sz w:val="28"/>
                    <w:szCs w:val="28"/>
                    <w:vertAlign w:val="subscript"/>
                  </w:rPr>
                  <m:t>−</m:t>
                </m:r>
                <m:r>
                  <m:rPr/>
                  <w:rPr>
                    <w:rFonts w:hint="eastAsia" w:ascii="Cambria Math" w:hAnsi="Cambria Math"/>
                    <w:color w:val="auto"/>
                    <w:kern w:val="0"/>
                    <w:sz w:val="28"/>
                    <w:szCs w:val="28"/>
                    <w:vertAlign w:val="subscript"/>
                  </w:rPr>
                  <m:t>P</m:t>
                </m:r>
                <m:ctrlPr>
                  <w:rPr>
                    <w:rFonts w:hint="default" w:ascii="Cambria Math" w:hAnsi="Cambria Math"/>
                    <w:i/>
                    <w:color w:val="auto"/>
                    <w:kern w:val="0"/>
                    <w:sz w:val="28"/>
                    <w:szCs w:val="28"/>
                    <w:vertAlign w:val="subscript"/>
                  </w:rPr>
                </m:ctrlPr>
              </m:den>
            </m:f>
            <m:ctrlPr>
              <w:rPr>
                <w:rFonts w:hint="default" w:ascii="Cambria Math" w:hAnsi="Cambria Math"/>
                <w:color w:val="auto"/>
                <w:kern w:val="0"/>
                <w:sz w:val="28"/>
                <w:szCs w:val="28"/>
                <w:vertAlign w:val="subscript"/>
              </w:rPr>
            </m:ctrlPr>
          </m:den>
        </m:f>
        <m:r>
          <m:rPr>
            <m:sty m:val="p"/>
          </m:rPr>
          <w:rPr>
            <w:rFonts w:hint="default" w:ascii="Cambria Math" w:hAnsi="Cambria Math"/>
            <w:color w:val="auto"/>
            <w:kern w:val="0"/>
            <w:sz w:val="28"/>
            <w:szCs w:val="28"/>
            <w:vertAlign w:val="subscript"/>
          </w:rPr>
          <m:t>×</m:t>
        </m:r>
        <m:sSub>
          <m:sSubPr>
            <m:ctrlPr>
              <w:rPr>
                <w:rFonts w:hint="default" w:ascii="Cambria Math" w:hAnsi="Cambria Math"/>
                <w:b w:val="0"/>
                <w:i w:val="0"/>
                <w:color w:val="auto"/>
                <w:kern w:val="0"/>
                <w:sz w:val="28"/>
                <w:szCs w:val="28"/>
                <w:vertAlign w:val="subscript"/>
              </w:rPr>
            </m:ctrlPr>
          </m:sSubPr>
          <m:e>
            <m:r>
              <m:rPr>
                <m:sty m:val="p"/>
              </m:rPr>
              <w:rPr>
                <w:rFonts w:hint="default" w:ascii="Cambria Math" w:hAnsi="Cambria Math"/>
                <w:color w:val="auto"/>
                <w:kern w:val="0"/>
                <w:sz w:val="28"/>
                <w:szCs w:val="28"/>
                <w:vertAlign w:val="subscript"/>
              </w:rPr>
              <m:t>ρ</m:t>
            </m:r>
            <m:ctrlPr>
              <w:rPr>
                <w:rFonts w:hint="default" w:ascii="Cambria Math" w:hAnsi="Cambria Math"/>
                <w:b w:val="0"/>
                <w:i w:val="0"/>
                <w:color w:val="auto"/>
                <w:kern w:val="0"/>
                <w:sz w:val="28"/>
                <w:szCs w:val="28"/>
                <w:vertAlign w:val="subscript"/>
              </w:rPr>
            </m:ctrlPr>
          </m:e>
          <m:sub>
            <m:r>
              <m:rPr>
                <m:sty m:val="p"/>
              </m:rPr>
              <w:rPr>
                <w:rFonts w:hint="eastAsia" w:ascii="Cambria Math" w:hAnsi="Cambria Math"/>
                <w:color w:val="auto"/>
                <w:kern w:val="0"/>
                <w:sz w:val="28"/>
                <w:szCs w:val="28"/>
                <w:vertAlign w:val="subscript"/>
              </w:rPr>
              <m:t>g</m:t>
            </m:r>
            <m:ctrlPr>
              <w:rPr>
                <w:rFonts w:hint="default" w:ascii="Cambria Math" w:hAnsi="Cambria Math"/>
                <w:b w:val="0"/>
                <w:i w:val="0"/>
                <w:color w:val="auto"/>
                <w:kern w:val="0"/>
                <w:sz w:val="28"/>
                <w:szCs w:val="28"/>
                <w:vertAlign w:val="subscript"/>
              </w:rPr>
            </m:ctrlPr>
          </m:sub>
        </m:sSub>
      </m:oMath>
      <w:r>
        <w:rPr>
          <w:rFonts w:hint="default" w:ascii="Times New Roman" w:hAnsi="Times New Roman" w:cs="Times New Roman"/>
          <w:color w:val="auto"/>
          <w:kern w:val="0"/>
          <w:sz w:val="24"/>
          <w:szCs w:val="24"/>
        </w:rPr>
        <w:t xml:space="preserve"> </w:t>
      </w:r>
      <w:r>
        <w:rPr>
          <w:color w:val="auto"/>
          <w:kern w:val="0"/>
          <w:sz w:val="24"/>
        </w:rPr>
        <w:t xml:space="preserve">        （6.2.7-3）</w:t>
      </w:r>
    </w:p>
    <w:p>
      <w:pPr>
        <w:spacing w:line="360" w:lineRule="auto"/>
        <w:ind w:left="1"/>
        <w:jc w:val="center"/>
        <w:rPr>
          <w:color w:val="auto"/>
          <w:kern w:val="0"/>
          <w:sz w:val="24"/>
        </w:rPr>
      </w:pPr>
      <w:r>
        <w:rPr>
          <w:rFonts w:hint="eastAsia" w:hAnsi="Cambria Math"/>
          <w:color w:val="auto"/>
          <w:kern w:val="0"/>
          <w:sz w:val="28"/>
          <w:szCs w:val="28"/>
          <w:vertAlign w:val="subscript"/>
        </w:rPr>
        <w:t xml:space="preserve">    </w:t>
      </w:r>
      <w:r>
        <w:rPr>
          <w:rFonts w:hint="eastAsia" w:hAnsi="Cambria Math"/>
          <w:b w:val="0"/>
          <w:i w:val="0"/>
          <w:color w:val="auto"/>
          <w:kern w:val="0"/>
          <w:sz w:val="28"/>
          <w:szCs w:val="28"/>
          <w:vertAlign w:val="subscript"/>
          <w:lang w:val="en-US" w:eastAsia="zh-CN"/>
        </w:rPr>
        <w:t xml:space="preserve"> </w:t>
      </w:r>
      <m:oMath>
        <m:sSub>
          <m:sSubPr>
            <m:ctrlPr>
              <w:rPr>
                <w:rFonts w:hint="default" w:ascii="Cambria Math" w:hAnsi="Cambria Math"/>
                <w:b w:val="0"/>
                <w:i w:val="0"/>
                <w:color w:val="auto"/>
                <w:kern w:val="0"/>
                <w:sz w:val="24"/>
                <w:szCs w:val="28"/>
                <w:vertAlign w:val="subscript"/>
              </w:rPr>
            </m:ctrlPr>
          </m:sSubPr>
          <m:e>
            <m:r>
              <m:rPr>
                <m:sty m:val="p"/>
              </m:rPr>
              <w:rPr>
                <w:rFonts w:hint="default" w:ascii="Times New Roman" w:hAnsi="Times New Roman" w:cs="Times New Roman"/>
                <w:color w:val="auto"/>
                <w:kern w:val="0"/>
                <w:sz w:val="24"/>
                <w:szCs w:val="28"/>
              </w:rPr>
              <m:t>m</m:t>
            </m:r>
            <m:ctrlPr>
              <w:rPr>
                <w:rFonts w:hint="default" w:ascii="Cambria Math" w:hAnsi="Cambria Math"/>
                <w:b w:val="0"/>
                <w:i w:val="0"/>
                <w:color w:val="auto"/>
                <w:kern w:val="0"/>
                <w:sz w:val="24"/>
                <w:szCs w:val="28"/>
                <w:vertAlign w:val="subscript"/>
              </w:rPr>
            </m:ctrlPr>
          </m:e>
          <m:sub>
            <m:r>
              <m:rPr>
                <m:sty m:val="p"/>
              </m:rPr>
              <w:rPr>
                <w:rFonts w:hint="default" w:ascii="Cambria Math" w:hAnsi="Cambria Math"/>
                <w:color w:val="auto"/>
                <w:kern w:val="0"/>
                <w:sz w:val="24"/>
                <w:szCs w:val="28"/>
                <w:vertAlign w:val="subscript"/>
                <w:lang w:val="en-US" w:eastAsia="zh-CN"/>
              </w:rPr>
              <m:t>s</m:t>
            </m:r>
            <m:r>
              <m:rPr>
                <m:sty m:val="p"/>
              </m:rPr>
              <w:rPr>
                <w:rFonts w:hint="eastAsia" w:ascii="Cambria Math" w:hAnsi="Cambria Math"/>
                <w:color w:val="auto"/>
                <w:kern w:val="0"/>
                <w:sz w:val="24"/>
                <w:szCs w:val="28"/>
                <w:vertAlign w:val="subscript"/>
              </w:rPr>
              <m:t>o</m:t>
            </m:r>
            <m:ctrlPr>
              <w:rPr>
                <w:rFonts w:hint="default" w:ascii="Cambria Math" w:hAnsi="Cambria Math"/>
                <w:b w:val="0"/>
                <w:i w:val="0"/>
                <w:color w:val="auto"/>
                <w:kern w:val="0"/>
                <w:sz w:val="24"/>
                <w:szCs w:val="28"/>
                <w:vertAlign w:val="subscript"/>
              </w:rPr>
            </m:ctrlPr>
          </m:sub>
        </m:sSub>
        <m:r>
          <m:rPr>
            <m:sty m:val="p"/>
          </m:rPr>
          <w:rPr>
            <w:rFonts w:hint="default" w:ascii="Cambria Math" w:hAnsi="Cambria Math"/>
            <w:color w:val="auto"/>
            <w:kern w:val="0"/>
            <w:sz w:val="24"/>
            <w:szCs w:val="28"/>
            <w:vertAlign w:val="subscript"/>
            <w:lang w:val="en-US" w:eastAsia="zh-CN"/>
          </w:rPr>
          <m:t>=</m:t>
        </m:r>
        <m:r>
          <m:rPr>
            <m:sty m:val="p"/>
          </m:rPr>
          <w:rPr>
            <w:rFonts w:hint="eastAsia" w:ascii="Cambria Math" w:hAnsi="Cambria Math"/>
            <w:color w:val="auto"/>
            <w:kern w:val="0"/>
            <w:sz w:val="24"/>
            <w:szCs w:val="28"/>
            <w:vertAlign w:val="subscript"/>
          </w:rPr>
          <m:t>（</m:t>
        </m:r>
        <m:r>
          <m:rPr>
            <m:sty m:val="p"/>
          </m:rPr>
          <w:rPr>
            <w:rFonts w:hint="eastAsia" w:ascii="Cambria Math" w:hAnsi="Cambria Math"/>
            <w:color w:val="auto"/>
            <w:kern w:val="0"/>
            <w:sz w:val="24"/>
            <w:szCs w:val="24"/>
            <w:vertAlign w:val="subscript"/>
          </w:rPr>
          <m:t>1000</m:t>
        </m:r>
        <m:r>
          <m:rPr/>
          <w:rPr>
            <w:rFonts w:hint="eastAsia" w:ascii="微软雅黑" w:hAnsi="微软雅黑" w:eastAsia="微软雅黑" w:cs="微软雅黑"/>
            <w:color w:val="auto"/>
            <w:kern w:val="0"/>
            <w:sz w:val="24"/>
            <w:szCs w:val="28"/>
          </w:rPr>
          <m:t>−</m:t>
        </m:r>
        <m:f>
          <m:fPr>
            <m:ctrlPr>
              <w:rPr>
                <w:rFonts w:hint="default" w:ascii="Cambria Math" w:hAnsi="Cambria Math"/>
                <w:color w:val="auto"/>
                <w:kern w:val="0"/>
                <w:sz w:val="24"/>
                <w:szCs w:val="28"/>
              </w:rPr>
            </m:ctrlPr>
          </m:fPr>
          <m:num>
            <m:sSub>
              <m:sSubPr>
                <m:ctrlPr>
                  <w:rPr>
                    <w:rFonts w:hint="default" w:ascii="Cambria Math" w:hAnsi="Cambria Math"/>
                    <w:b w:val="0"/>
                    <w:i w:val="0"/>
                    <w:color w:val="auto"/>
                    <w:kern w:val="0"/>
                    <w:sz w:val="24"/>
                    <w:szCs w:val="28"/>
                  </w:rPr>
                </m:ctrlPr>
              </m:sSubPr>
              <m:e>
                <m:r>
                  <m:rPr>
                    <m:sty m:val="p"/>
                  </m:rPr>
                  <w:rPr>
                    <w:rFonts w:hint="default" w:ascii="Cambria Math" w:hAnsi="Cambria Math"/>
                    <w:color w:val="auto"/>
                    <w:kern w:val="0"/>
                    <w:sz w:val="24"/>
                    <w:szCs w:val="28"/>
                  </w:rPr>
                  <m:t>m</m:t>
                </m:r>
                <m:ctrlPr>
                  <w:rPr>
                    <w:rFonts w:hint="default" w:ascii="Cambria Math" w:hAnsi="Cambria Math"/>
                    <w:b w:val="0"/>
                    <w:i w:val="0"/>
                    <w:color w:val="auto"/>
                    <w:kern w:val="0"/>
                    <w:sz w:val="24"/>
                    <w:szCs w:val="28"/>
                  </w:rPr>
                </m:ctrlPr>
              </m:e>
              <m:sub>
                <m:r>
                  <m:rPr>
                    <m:sty m:val="p"/>
                  </m:rPr>
                  <w:rPr>
                    <w:rFonts w:hint="default" w:ascii="Cambria Math" w:hAnsi="Cambria Math"/>
                    <w:color w:val="auto"/>
                    <w:kern w:val="0"/>
                    <w:sz w:val="24"/>
                    <w:szCs w:val="28"/>
                    <w:vertAlign w:val="subscript"/>
                  </w:rPr>
                  <m:t>g</m:t>
                </m:r>
                <m:r>
                  <m:rPr>
                    <m:sty m:val="p"/>
                  </m:rPr>
                  <w:rPr>
                    <w:rFonts w:hint="eastAsia" w:ascii="Cambria Math" w:hAnsi="Cambria Math"/>
                    <w:color w:val="auto"/>
                    <w:kern w:val="0"/>
                    <w:sz w:val="24"/>
                    <w:szCs w:val="28"/>
                    <w:vertAlign w:val="subscript"/>
                  </w:rPr>
                  <m:t>o</m:t>
                </m:r>
                <m:ctrlPr>
                  <w:rPr>
                    <w:rFonts w:hint="default" w:ascii="Cambria Math" w:hAnsi="Cambria Math"/>
                    <w:b w:val="0"/>
                    <w:i w:val="0"/>
                    <w:color w:val="auto"/>
                    <w:kern w:val="0"/>
                    <w:sz w:val="24"/>
                    <w:szCs w:val="28"/>
                  </w:rPr>
                </m:ctrlPr>
              </m:sub>
            </m:sSub>
            <m:ctrlPr>
              <w:rPr>
                <w:rFonts w:hint="default" w:ascii="Cambria Math" w:hAnsi="Cambria Math"/>
                <w:color w:val="auto"/>
                <w:kern w:val="0"/>
                <w:sz w:val="24"/>
                <w:szCs w:val="28"/>
              </w:rPr>
            </m:ctrlPr>
          </m:num>
          <m:den>
            <m:sSub>
              <m:sSubPr>
                <m:ctrlPr>
                  <w:rPr>
                    <w:rFonts w:hint="default"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rPr>
                </m:ctrlPr>
              </m:e>
              <m:sub>
                <m:r>
                  <m:rPr>
                    <m:sty m:val="p"/>
                  </m:rPr>
                  <w:rPr>
                    <w:rFonts w:hint="default" w:ascii="Cambria Math" w:hAnsi="Cambria Math"/>
                    <w:color w:val="auto"/>
                    <w:kern w:val="0"/>
                    <w:sz w:val="24"/>
                    <w:szCs w:val="24"/>
                    <w:vertAlign w:val="subscript"/>
                  </w:rPr>
                  <m:t>g</m:t>
                </m:r>
                <m:ctrlPr>
                  <w:rPr>
                    <w:rFonts w:hint="default" w:ascii="Cambria Math" w:hAnsi="Cambria Math"/>
                    <w:b w:val="0"/>
                    <w:i w:val="0"/>
                    <w:color w:val="auto"/>
                    <w:kern w:val="0"/>
                    <w:sz w:val="24"/>
                    <w:szCs w:val="24"/>
                  </w:rPr>
                </m:ctrlPr>
              </m:sub>
            </m:sSub>
            <m:ctrlPr>
              <w:rPr>
                <w:rFonts w:hint="default" w:ascii="Cambria Math" w:hAnsi="Cambria Math"/>
                <w:color w:val="auto"/>
                <w:kern w:val="0"/>
                <w:sz w:val="24"/>
                <w:szCs w:val="28"/>
              </w:rPr>
            </m:ctrlPr>
          </m:den>
        </m:f>
        <m:r>
          <m:rPr/>
          <w:rPr>
            <w:rFonts w:hint="eastAsia" w:ascii="微软雅黑" w:hAnsi="微软雅黑" w:eastAsia="微软雅黑" w:cs="微软雅黑"/>
            <w:color w:val="auto"/>
            <w:kern w:val="0"/>
            <w:sz w:val="24"/>
            <w:szCs w:val="28"/>
          </w:rPr>
          <m:t>−</m:t>
        </m:r>
        <m:f>
          <m:fPr>
            <m:ctrlPr>
              <w:rPr>
                <w:rFonts w:hint="default" w:ascii="Cambria Math" w:hAnsi="Cambria Math"/>
                <w:color w:val="auto"/>
                <w:kern w:val="0"/>
                <w:sz w:val="24"/>
                <w:szCs w:val="28"/>
              </w:rPr>
            </m:ctrlPr>
          </m:fPr>
          <m:num>
            <m:sSub>
              <m:sSubPr>
                <m:ctrlPr>
                  <w:rPr>
                    <w:rFonts w:hint="default" w:ascii="Cambria Math" w:hAnsi="Cambria Math"/>
                    <w:b w:val="0"/>
                    <w:i w:val="0"/>
                    <w:color w:val="auto"/>
                    <w:kern w:val="0"/>
                    <w:sz w:val="24"/>
                    <w:szCs w:val="28"/>
                  </w:rPr>
                </m:ctrlPr>
              </m:sSubPr>
              <m:e>
                <m:r>
                  <m:rPr>
                    <m:sty m:val="p"/>
                  </m:rPr>
                  <w:rPr>
                    <w:rFonts w:hint="default" w:ascii="Cambria Math" w:hAnsi="Cambria Math"/>
                    <w:color w:val="auto"/>
                    <w:kern w:val="0"/>
                    <w:sz w:val="24"/>
                    <w:szCs w:val="28"/>
                  </w:rPr>
                  <m:t>m</m:t>
                </m:r>
                <m:ctrlPr>
                  <w:rPr>
                    <w:rFonts w:hint="default" w:ascii="Cambria Math" w:hAnsi="Cambria Math"/>
                    <w:b w:val="0"/>
                    <w:i w:val="0"/>
                    <w:color w:val="auto"/>
                    <w:kern w:val="0"/>
                    <w:sz w:val="24"/>
                    <w:szCs w:val="28"/>
                  </w:rPr>
                </m:ctrlPr>
              </m:e>
              <m:sub>
                <m:r>
                  <m:rPr>
                    <m:sty m:val="p"/>
                  </m:rPr>
                  <w:rPr>
                    <w:rFonts w:hint="default" w:ascii="Cambria Math" w:hAnsi="Cambria Math"/>
                    <w:color w:val="auto"/>
                    <w:kern w:val="0"/>
                    <w:sz w:val="24"/>
                    <w:szCs w:val="28"/>
                    <w:vertAlign w:val="subscript"/>
                  </w:rPr>
                  <m:t>c</m:t>
                </m:r>
                <m:r>
                  <m:rPr>
                    <m:sty m:val="p"/>
                  </m:rPr>
                  <w:rPr>
                    <w:rFonts w:hint="eastAsia" w:ascii="Cambria Math" w:hAnsi="Cambria Math"/>
                    <w:color w:val="auto"/>
                    <w:kern w:val="0"/>
                    <w:sz w:val="24"/>
                    <w:szCs w:val="28"/>
                    <w:vertAlign w:val="subscript"/>
                  </w:rPr>
                  <m:t>o</m:t>
                </m:r>
                <m:ctrlPr>
                  <w:rPr>
                    <w:rFonts w:hint="default" w:ascii="Cambria Math" w:hAnsi="Cambria Math"/>
                    <w:b w:val="0"/>
                    <w:i w:val="0"/>
                    <w:color w:val="auto"/>
                    <w:kern w:val="0"/>
                    <w:sz w:val="24"/>
                    <w:szCs w:val="28"/>
                  </w:rPr>
                </m:ctrlPr>
              </m:sub>
            </m:sSub>
            <m:ctrlPr>
              <w:rPr>
                <w:rFonts w:hint="default" w:ascii="Cambria Math" w:hAnsi="Cambria Math"/>
                <w:color w:val="auto"/>
                <w:kern w:val="0"/>
                <w:sz w:val="24"/>
                <w:szCs w:val="28"/>
              </w:rPr>
            </m:ctrlPr>
          </m:num>
          <m:den>
            <m:sSub>
              <m:sSubPr>
                <m:ctrlPr>
                  <w:rPr>
                    <w:rFonts w:hint="default"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rPr>
                </m:ctrlPr>
              </m:e>
              <m:sub>
                <m:r>
                  <m:rPr>
                    <m:sty m:val="p"/>
                  </m:rPr>
                  <w:rPr>
                    <w:rFonts w:hint="default" w:ascii="Cambria Math" w:hAnsi="Cambria Math"/>
                    <w:color w:val="auto"/>
                    <w:kern w:val="0"/>
                    <w:sz w:val="24"/>
                    <w:szCs w:val="24"/>
                    <w:vertAlign w:val="subscript"/>
                  </w:rPr>
                  <m:t>c</m:t>
                </m:r>
                <m:ctrlPr>
                  <w:rPr>
                    <w:rFonts w:hint="default" w:ascii="Cambria Math" w:hAnsi="Cambria Math"/>
                    <w:b w:val="0"/>
                    <w:i w:val="0"/>
                    <w:color w:val="auto"/>
                    <w:kern w:val="0"/>
                    <w:sz w:val="24"/>
                    <w:szCs w:val="24"/>
                  </w:rPr>
                </m:ctrlPr>
              </m:sub>
            </m:sSub>
            <m:ctrlPr>
              <w:rPr>
                <w:rFonts w:hint="default" w:ascii="Cambria Math" w:hAnsi="Cambria Math"/>
                <w:color w:val="auto"/>
                <w:kern w:val="0"/>
                <w:sz w:val="24"/>
                <w:szCs w:val="28"/>
              </w:rPr>
            </m:ctrlPr>
          </m:den>
        </m:f>
        <m:r>
          <m:rPr/>
          <w:rPr>
            <w:rFonts w:hint="eastAsia" w:ascii="微软雅黑" w:hAnsi="微软雅黑" w:eastAsia="微软雅黑" w:cs="微软雅黑"/>
            <w:color w:val="auto"/>
            <w:kern w:val="0"/>
            <w:sz w:val="24"/>
            <w:szCs w:val="28"/>
          </w:rPr>
          <m:t>−</m:t>
        </m:r>
        <m:f>
          <m:fPr>
            <m:ctrlPr>
              <w:rPr>
                <w:rFonts w:hint="default" w:ascii="Cambria Math" w:hAnsi="Cambria Math"/>
                <w:color w:val="auto"/>
                <w:kern w:val="0"/>
                <w:sz w:val="24"/>
                <w:szCs w:val="28"/>
              </w:rPr>
            </m:ctrlPr>
          </m:fPr>
          <m:num>
            <m:sSub>
              <m:sSubPr>
                <m:ctrlPr>
                  <w:rPr>
                    <w:rFonts w:hint="default" w:ascii="Cambria Math" w:hAnsi="Cambria Math"/>
                    <w:b w:val="0"/>
                    <w:i w:val="0"/>
                    <w:color w:val="auto"/>
                    <w:kern w:val="0"/>
                    <w:sz w:val="24"/>
                    <w:szCs w:val="28"/>
                  </w:rPr>
                </m:ctrlPr>
              </m:sSubPr>
              <m:e>
                <m:r>
                  <m:rPr>
                    <m:sty m:val="p"/>
                  </m:rPr>
                  <w:rPr>
                    <w:rFonts w:hint="default" w:ascii="Cambria Math" w:hAnsi="Cambria Math"/>
                    <w:color w:val="auto"/>
                    <w:kern w:val="0"/>
                    <w:sz w:val="24"/>
                    <w:szCs w:val="28"/>
                  </w:rPr>
                  <m:t>m</m:t>
                </m:r>
                <m:ctrlPr>
                  <w:rPr>
                    <w:rFonts w:hint="default" w:ascii="Cambria Math" w:hAnsi="Cambria Math"/>
                    <w:b w:val="0"/>
                    <w:i w:val="0"/>
                    <w:color w:val="auto"/>
                    <w:kern w:val="0"/>
                    <w:sz w:val="24"/>
                    <w:szCs w:val="28"/>
                  </w:rPr>
                </m:ctrlPr>
              </m:e>
              <m:sub>
                <m:r>
                  <m:rPr>
                    <m:sty m:val="p"/>
                  </m:rPr>
                  <w:rPr>
                    <w:rFonts w:hint="eastAsia" w:ascii="Cambria Math" w:hAnsi="Cambria Math"/>
                    <w:color w:val="auto"/>
                    <w:kern w:val="0"/>
                    <w:sz w:val="24"/>
                    <w:szCs w:val="28"/>
                  </w:rPr>
                  <m:t>f</m:t>
                </m:r>
                <m:r>
                  <m:rPr>
                    <m:sty m:val="p"/>
                  </m:rPr>
                  <w:rPr>
                    <w:rFonts w:hint="eastAsia" w:ascii="Cambria Math" w:hAnsi="Cambria Math"/>
                    <w:color w:val="auto"/>
                    <w:kern w:val="0"/>
                    <w:sz w:val="24"/>
                    <w:szCs w:val="28"/>
                    <w:vertAlign w:val="subscript"/>
                  </w:rPr>
                  <m:t>o</m:t>
                </m:r>
                <m:ctrlPr>
                  <w:rPr>
                    <w:rFonts w:hint="default" w:ascii="Cambria Math" w:hAnsi="Cambria Math"/>
                    <w:b w:val="0"/>
                    <w:i w:val="0"/>
                    <w:color w:val="auto"/>
                    <w:kern w:val="0"/>
                    <w:sz w:val="24"/>
                    <w:szCs w:val="28"/>
                  </w:rPr>
                </m:ctrlPr>
              </m:sub>
            </m:sSub>
            <m:ctrlPr>
              <w:rPr>
                <w:rFonts w:hint="default" w:ascii="Cambria Math" w:hAnsi="Cambria Math"/>
                <w:color w:val="auto"/>
                <w:kern w:val="0"/>
                <w:sz w:val="24"/>
                <w:szCs w:val="28"/>
              </w:rPr>
            </m:ctrlPr>
          </m:num>
          <m:den>
            <m:sSub>
              <m:sSubPr>
                <m:ctrlPr>
                  <w:rPr>
                    <w:rFonts w:hint="eastAsia"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eastAsia" w:ascii="Cambria Math" w:hAnsi="Cambria Math"/>
                    <w:b w:val="0"/>
                    <w:i w:val="0"/>
                    <w:color w:val="auto"/>
                    <w:kern w:val="0"/>
                    <w:sz w:val="24"/>
                    <w:szCs w:val="24"/>
                  </w:rPr>
                </m:ctrlPr>
              </m:e>
              <m:sub>
                <m:r>
                  <m:rPr>
                    <m:sty m:val="p"/>
                  </m:rPr>
                  <w:rPr>
                    <w:rFonts w:hint="eastAsia" w:ascii="Cambria Math" w:hAnsi="Cambria Math"/>
                    <w:color w:val="auto"/>
                    <w:kern w:val="0"/>
                    <w:sz w:val="24"/>
                    <w:szCs w:val="24"/>
                  </w:rPr>
                  <m:t>f</m:t>
                </m:r>
                <m:ctrlPr>
                  <w:rPr>
                    <w:rFonts w:hint="eastAsia" w:ascii="Cambria Math" w:hAnsi="Cambria Math"/>
                    <w:b w:val="0"/>
                    <w:i w:val="0"/>
                    <w:color w:val="auto"/>
                    <w:kern w:val="0"/>
                    <w:sz w:val="24"/>
                    <w:szCs w:val="24"/>
                  </w:rPr>
                </m:ctrlPr>
              </m:sub>
            </m:sSub>
            <m:ctrlPr>
              <w:rPr>
                <w:rFonts w:hint="default" w:ascii="Cambria Math" w:hAnsi="Cambria Math"/>
                <w:color w:val="auto"/>
                <w:kern w:val="0"/>
                <w:sz w:val="24"/>
                <w:szCs w:val="28"/>
              </w:rPr>
            </m:ctrlPr>
          </m:den>
        </m:f>
        <m:r>
          <m:rPr/>
          <w:rPr>
            <w:rFonts w:hint="eastAsia" w:ascii="微软雅黑" w:hAnsi="微软雅黑" w:eastAsia="微软雅黑" w:cs="微软雅黑"/>
            <w:color w:val="auto"/>
            <w:kern w:val="0"/>
            <w:sz w:val="24"/>
            <w:szCs w:val="28"/>
          </w:rPr>
          <m:t>−</m:t>
        </m:r>
        <m:f>
          <m:fPr>
            <m:ctrlPr>
              <w:rPr>
                <w:rFonts w:hint="default" w:ascii="Cambria Math" w:hAnsi="Cambria Math"/>
                <w:color w:val="auto"/>
                <w:kern w:val="0"/>
                <w:sz w:val="24"/>
                <w:szCs w:val="28"/>
              </w:rPr>
            </m:ctrlPr>
          </m:fPr>
          <m:num>
            <m:sSub>
              <m:sSubPr>
                <m:ctrlPr>
                  <w:rPr>
                    <w:rFonts w:hint="default" w:ascii="Cambria Math" w:hAnsi="Cambria Math"/>
                    <w:b w:val="0"/>
                    <w:i w:val="0"/>
                    <w:color w:val="auto"/>
                    <w:kern w:val="0"/>
                    <w:sz w:val="24"/>
                    <w:szCs w:val="28"/>
                  </w:rPr>
                </m:ctrlPr>
              </m:sSubPr>
              <m:e>
                <m:r>
                  <m:rPr>
                    <m:sty m:val="p"/>
                  </m:rPr>
                  <w:rPr>
                    <w:rFonts w:hint="default" w:ascii="Cambria Math" w:hAnsi="Cambria Math"/>
                    <w:color w:val="auto"/>
                    <w:kern w:val="0"/>
                    <w:sz w:val="24"/>
                    <w:szCs w:val="28"/>
                  </w:rPr>
                  <m:t>m</m:t>
                </m:r>
                <m:ctrlPr>
                  <w:rPr>
                    <w:rFonts w:hint="default" w:ascii="Cambria Math" w:hAnsi="Cambria Math"/>
                    <w:b w:val="0"/>
                    <w:i w:val="0"/>
                    <w:color w:val="auto"/>
                    <w:kern w:val="0"/>
                    <w:sz w:val="24"/>
                    <w:szCs w:val="28"/>
                  </w:rPr>
                </m:ctrlPr>
              </m:e>
              <m:sub>
                <m:r>
                  <m:rPr>
                    <m:sty m:val="p"/>
                  </m:rPr>
                  <w:rPr>
                    <w:rFonts w:hint="default" w:ascii="Cambria Math" w:hAnsi="Cambria Math"/>
                    <w:color w:val="auto"/>
                    <w:kern w:val="0"/>
                    <w:sz w:val="24"/>
                    <w:szCs w:val="28"/>
                    <w:vertAlign w:val="subscript"/>
                  </w:rPr>
                  <m:t>w</m:t>
                </m:r>
                <m:r>
                  <m:rPr>
                    <m:sty m:val="p"/>
                  </m:rPr>
                  <w:rPr>
                    <w:rFonts w:hint="eastAsia" w:ascii="Cambria Math" w:hAnsi="Cambria Math"/>
                    <w:color w:val="auto"/>
                    <w:kern w:val="0"/>
                    <w:sz w:val="24"/>
                    <w:szCs w:val="28"/>
                    <w:vertAlign w:val="subscript"/>
                  </w:rPr>
                  <m:t>o</m:t>
                </m:r>
                <m:ctrlPr>
                  <w:rPr>
                    <w:rFonts w:hint="default" w:ascii="Cambria Math" w:hAnsi="Cambria Math"/>
                    <w:b w:val="0"/>
                    <w:i w:val="0"/>
                    <w:color w:val="auto"/>
                    <w:kern w:val="0"/>
                    <w:sz w:val="24"/>
                    <w:szCs w:val="28"/>
                  </w:rPr>
                </m:ctrlPr>
              </m:sub>
            </m:sSub>
            <m:ctrlPr>
              <w:rPr>
                <w:rFonts w:hint="default" w:ascii="Cambria Math" w:hAnsi="Cambria Math"/>
                <w:color w:val="auto"/>
                <w:kern w:val="0"/>
                <w:sz w:val="24"/>
                <w:szCs w:val="28"/>
              </w:rPr>
            </m:ctrlPr>
          </m:num>
          <m:den>
            <m:sSub>
              <m:sSubPr>
                <m:ctrlPr>
                  <w:rPr>
                    <w:rFonts w:hint="default" w:ascii="Cambria Math" w:hAnsi="Cambria Math"/>
                    <w:b w:val="0"/>
                    <w:i w:val="0"/>
                    <w:color w:val="auto"/>
                    <w:kern w:val="0"/>
                    <w:sz w:val="24"/>
                    <w:szCs w:val="24"/>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rPr>
                </m:ctrlPr>
              </m:e>
              <m:sub>
                <m:r>
                  <m:rPr>
                    <m:sty m:val="p"/>
                  </m:rPr>
                  <w:rPr>
                    <w:rFonts w:hint="default" w:ascii="Cambria Math" w:hAnsi="Cambria Math"/>
                    <w:color w:val="auto"/>
                    <w:kern w:val="0"/>
                    <w:sz w:val="24"/>
                    <w:szCs w:val="24"/>
                    <w:vertAlign w:val="subscript"/>
                  </w:rPr>
                  <m:t>w</m:t>
                </m:r>
                <m:ctrlPr>
                  <w:rPr>
                    <w:rFonts w:hint="default" w:ascii="Cambria Math" w:hAnsi="Cambria Math"/>
                    <w:b w:val="0"/>
                    <w:i w:val="0"/>
                    <w:color w:val="auto"/>
                    <w:kern w:val="0"/>
                    <w:sz w:val="24"/>
                    <w:szCs w:val="24"/>
                  </w:rPr>
                </m:ctrlPr>
              </m:sub>
            </m:sSub>
            <m:ctrlPr>
              <w:rPr>
                <w:rFonts w:hint="default" w:ascii="Cambria Math" w:hAnsi="Cambria Math"/>
                <w:color w:val="auto"/>
                <w:kern w:val="0"/>
                <w:sz w:val="24"/>
                <w:szCs w:val="28"/>
              </w:rPr>
            </m:ctrlPr>
          </m:den>
        </m:f>
        <m:r>
          <m:rPr>
            <m:sty m:val="p"/>
          </m:rPr>
          <w:rPr>
            <w:rFonts w:hint="eastAsia" w:ascii="Cambria Math" w:hAnsi="Cambria Math"/>
            <w:color w:val="auto"/>
            <w:kern w:val="0"/>
            <w:sz w:val="24"/>
            <w:szCs w:val="28"/>
            <w:vertAlign w:val="subscript"/>
          </w:rPr>
          <m:t>）</m:t>
        </m:r>
        <m:r>
          <m:rPr>
            <m:sty m:val="p"/>
          </m:rPr>
          <w:rPr>
            <w:rFonts w:hint="default" w:ascii="Cambria Math" w:hAnsi="Cambria Math"/>
            <w:color w:val="auto"/>
            <w:kern w:val="0"/>
            <w:sz w:val="24"/>
            <w:szCs w:val="28"/>
            <w:vertAlign w:val="subscript"/>
          </w:rPr>
          <m:t>×</m:t>
        </m:r>
        <m:sSub>
          <m:sSubPr>
            <m:ctrlPr>
              <w:rPr>
                <w:rFonts w:hint="default" w:ascii="Cambria Math" w:hAnsi="Cambria Math"/>
                <w:b w:val="0"/>
                <w:i w:val="0"/>
                <w:color w:val="auto"/>
                <w:kern w:val="0"/>
                <w:sz w:val="24"/>
                <w:szCs w:val="24"/>
                <w:vertAlign w:val="subscript"/>
              </w:rPr>
            </m:ctrlPr>
          </m:sSubPr>
          <m:e>
            <m:r>
              <m:rPr>
                <m:sty m:val="p"/>
              </m:rPr>
              <w:rPr>
                <w:rFonts w:hint="default" w:ascii="Cambria Math" w:hAnsi="Cambria Math"/>
                <w:color w:val="auto"/>
                <w:kern w:val="0"/>
                <w:sz w:val="24"/>
                <w:szCs w:val="24"/>
              </w:rPr>
              <m:t>ρ</m:t>
            </m:r>
            <m:ctrlPr>
              <w:rPr>
                <w:rFonts w:hint="default" w:ascii="Cambria Math" w:hAnsi="Cambria Math"/>
                <w:b w:val="0"/>
                <w:i w:val="0"/>
                <w:color w:val="auto"/>
                <w:kern w:val="0"/>
                <w:sz w:val="24"/>
                <w:szCs w:val="24"/>
                <w:vertAlign w:val="subscript"/>
              </w:rPr>
            </m:ctrlPr>
          </m:e>
          <m:sub>
            <m:r>
              <m:rPr>
                <m:sty m:val="p"/>
              </m:rPr>
              <w:rPr>
                <w:rFonts w:hint="default" w:ascii="Cambria Math" w:hAnsi="Cambria Math"/>
                <w:color w:val="auto"/>
                <w:kern w:val="0"/>
                <w:sz w:val="24"/>
                <w:szCs w:val="24"/>
                <w:vertAlign w:val="subscript"/>
              </w:rPr>
              <m:t>s</m:t>
            </m:r>
            <m:ctrlPr>
              <w:rPr>
                <w:rFonts w:hint="default" w:ascii="Cambria Math" w:hAnsi="Cambria Math"/>
                <w:b w:val="0"/>
                <w:i w:val="0"/>
                <w:color w:val="auto"/>
                <w:kern w:val="0"/>
                <w:sz w:val="24"/>
                <w:szCs w:val="24"/>
                <w:vertAlign w:val="subscript"/>
              </w:rPr>
            </m:ctrlPr>
          </m:sub>
        </m:sSub>
      </m:oMath>
      <w:r>
        <w:rPr>
          <w:rFonts w:hint="eastAsia" w:cs="Times New Roman"/>
          <w:color w:val="auto"/>
          <w:kern w:val="0"/>
          <w:sz w:val="28"/>
          <w:szCs w:val="28"/>
          <w:lang w:val="en-US" w:eastAsia="zh-CN"/>
        </w:rPr>
        <w:t xml:space="preserve"> </w:t>
      </w:r>
      <w:r>
        <w:rPr>
          <w:rFonts w:hint="eastAsia"/>
          <w:color w:val="auto"/>
          <w:kern w:val="0"/>
          <w:sz w:val="22"/>
          <w:szCs w:val="22"/>
          <w:vertAlign w:val="subscript"/>
        </w:rPr>
        <w:t xml:space="preserve">  </w:t>
      </w:r>
      <w:r>
        <w:rPr>
          <w:rFonts w:hint="eastAsia"/>
          <w:color w:val="auto"/>
          <w:kern w:val="0"/>
          <w:sz w:val="24"/>
          <w:vertAlign w:val="subscript"/>
        </w:rPr>
        <w:t xml:space="preserve">  </w:t>
      </w:r>
      <w:r>
        <w:rPr>
          <w:color w:val="auto"/>
          <w:kern w:val="0"/>
          <w:sz w:val="24"/>
        </w:rPr>
        <w:t>（6.2.7-4）</w:t>
      </w:r>
      <w:r>
        <w:rPr>
          <w:rFonts w:hint="eastAsia"/>
          <w:color w:val="auto"/>
          <w:kern w:val="0"/>
          <w:sz w:val="24"/>
          <w:vertAlign w:val="subscript"/>
        </w:rPr>
        <w:t xml:space="preserve">                       </w:t>
      </w:r>
      <w:r>
        <w:rPr>
          <w:color w:val="auto"/>
          <w:kern w:val="0"/>
          <w:sz w:val="24"/>
          <w:vertAlign w:val="subscript"/>
        </w:rPr>
        <w:t xml:space="preserve"> </w:t>
      </w:r>
      <w:r>
        <w:rPr>
          <w:rFonts w:hint="eastAsia"/>
          <w:color w:val="auto"/>
          <w:kern w:val="0"/>
          <w:sz w:val="24"/>
          <w:vertAlign w:val="subscript"/>
        </w:rPr>
        <w:t xml:space="preserve">                      </w:t>
      </w:r>
    </w:p>
    <w:p>
      <w:pPr>
        <w:spacing w:line="360" w:lineRule="auto"/>
        <w:ind w:firstLine="484" w:firstLineChars="202"/>
        <w:rPr>
          <w:color w:val="auto"/>
          <w:kern w:val="0"/>
          <w:sz w:val="24"/>
        </w:rPr>
      </w:pPr>
      <w:r>
        <w:rPr>
          <w:color w:val="auto"/>
          <w:kern w:val="0"/>
          <w:sz w:val="24"/>
        </w:rPr>
        <w:t>式中：</w:t>
      </w:r>
      <w:r>
        <w:rPr>
          <w:rFonts w:hint="eastAsia"/>
          <w:color w:val="auto"/>
          <w:kern w:val="0"/>
          <w:sz w:val="24"/>
        </w:rPr>
        <w:t xml:space="preserve"> </w:t>
      </w:r>
      <m:oMath>
        <m:r>
          <m:rPr/>
          <w:rPr>
            <w:rFonts w:hint="eastAsia" w:ascii="Cambria Math" w:hAnsi="Cambria Math"/>
            <w:color w:val="auto"/>
            <w:kern w:val="0"/>
            <w:sz w:val="28"/>
            <w:szCs w:val="28"/>
            <w:vertAlign w:val="subscript"/>
          </w:rPr>
          <m:t>K</m:t>
        </m:r>
      </m:oMath>
      <w:r>
        <w:rPr>
          <w:rFonts w:hint="eastAsia"/>
          <w:color w:val="auto"/>
          <w:kern w:val="0"/>
          <w:sz w:val="24"/>
        </w:rPr>
        <w:t xml:space="preserve"> </w:t>
      </w:r>
      <w:r>
        <w:rPr>
          <w:color w:val="auto"/>
          <w:kern w:val="0"/>
          <w:sz w:val="24"/>
        </w:rPr>
        <w:t>——砂浆剩余系数；</w:t>
      </w:r>
    </w:p>
    <w:p>
      <w:pPr>
        <w:spacing w:line="360" w:lineRule="auto"/>
        <w:ind w:firstLine="1120" w:firstLineChars="400"/>
        <w:rPr>
          <w:color w:val="auto"/>
          <w:kern w:val="0"/>
          <w:sz w:val="24"/>
        </w:rPr>
      </w:pPr>
      <m:oMath>
        <m:r>
          <m:rPr/>
          <w:rPr>
            <w:rFonts w:ascii="Cambria Math" w:hAnsi="Cambria Math"/>
            <w:color w:val="auto"/>
            <w:kern w:val="0"/>
            <w:sz w:val="28"/>
            <w:szCs w:val="28"/>
            <w:vertAlign w:val="subscript"/>
          </w:rPr>
          <m:t xml:space="preserve">  </m:t>
        </m:r>
        <m:r>
          <m:rPr/>
          <w:rPr>
            <w:rFonts w:hint="eastAsia" w:ascii="Cambria Math" w:hAnsi="Cambria Math"/>
            <w:color w:val="auto"/>
            <w:kern w:val="0"/>
            <w:sz w:val="28"/>
            <w:szCs w:val="28"/>
            <w:vertAlign w:val="subscript"/>
          </w:rPr>
          <m:t>P</m:t>
        </m:r>
      </m:oMath>
      <w:r>
        <w:rPr>
          <w:rFonts w:hint="eastAsia" w:hAnsi="Cambria Math"/>
          <w:color w:val="auto"/>
          <w:kern w:val="0"/>
          <w:sz w:val="28"/>
          <w:szCs w:val="28"/>
          <w:vertAlign w:val="subscript"/>
        </w:rPr>
        <w:t xml:space="preserve"> </w:t>
      </w:r>
      <w:r>
        <w:rPr>
          <w:color w:val="auto"/>
          <w:kern w:val="0"/>
          <w:sz w:val="24"/>
        </w:rPr>
        <w:t>——粗骨料的</w:t>
      </w:r>
      <w:r>
        <w:rPr>
          <w:rFonts w:hint="eastAsia"/>
          <w:color w:val="auto"/>
          <w:kern w:val="0"/>
          <w:sz w:val="24"/>
        </w:rPr>
        <w:t>空</w:t>
      </w:r>
      <w:r>
        <w:rPr>
          <w:color w:val="auto"/>
          <w:kern w:val="0"/>
          <w:sz w:val="24"/>
        </w:rPr>
        <w:t>隙率（%）。</w:t>
      </w:r>
    </w:p>
    <w:p>
      <w:pPr>
        <w:spacing w:line="360" w:lineRule="auto"/>
        <w:rPr>
          <w:color w:val="auto"/>
          <w:kern w:val="0"/>
          <w:sz w:val="24"/>
        </w:rPr>
      </w:pPr>
      <w:r>
        <w:rPr>
          <w:b/>
          <w:color w:val="auto"/>
          <w:kern w:val="0"/>
          <w:sz w:val="24"/>
        </w:rPr>
        <w:t>6.2.8</w:t>
      </w:r>
      <w:r>
        <w:rPr>
          <w:rFonts w:hint="eastAsia"/>
          <w:b/>
          <w:color w:val="auto"/>
          <w:kern w:val="0"/>
          <w:sz w:val="24"/>
        </w:rPr>
        <w:t xml:space="preserve">  </w:t>
      </w:r>
      <w:r>
        <w:rPr>
          <w:color w:val="auto"/>
          <w:kern w:val="0"/>
          <w:sz w:val="24"/>
        </w:rPr>
        <w:t>配合比的试配、调整与确定</w:t>
      </w:r>
    </w:p>
    <w:p>
      <w:pPr>
        <w:spacing w:line="360" w:lineRule="auto"/>
        <w:ind w:firstLine="480"/>
        <w:rPr>
          <w:color w:val="auto"/>
          <w:kern w:val="0"/>
          <w:sz w:val="24"/>
        </w:rPr>
      </w:pPr>
      <w:r>
        <w:rPr>
          <w:color w:val="auto"/>
          <w:kern w:val="0"/>
          <w:sz w:val="24"/>
        </w:rPr>
        <w:t>塑性特细砂混凝土试配、调整与确定应按现行行业标准《普通混凝土配合比设计规程》JGJ 55规定的方法进行。</w:t>
      </w:r>
    </w:p>
    <w:p>
      <w:pPr>
        <w:keepNext w:val="0"/>
        <w:keepLines w:val="0"/>
        <w:pageBreakBefore w:val="0"/>
        <w:widowControl w:val="0"/>
        <w:kinsoku/>
        <w:wordWrap/>
        <w:overflowPunct/>
        <w:topLinePunct w:val="0"/>
        <w:autoSpaceDE/>
        <w:autoSpaceDN/>
        <w:bidi w:val="0"/>
        <w:adjustRightInd/>
        <w:snapToGrid/>
        <w:jc w:val="center"/>
        <w:textAlignment w:val="auto"/>
        <w:outlineLvl w:val="1"/>
        <w:rPr>
          <w:b/>
          <w:bCs/>
          <w:color w:val="auto"/>
          <w:sz w:val="28"/>
          <w:szCs w:val="28"/>
        </w:rPr>
      </w:pPr>
      <w:bookmarkStart w:id="81" w:name="_Toc12049"/>
      <w:bookmarkStart w:id="82" w:name="_Toc2875"/>
      <w:r>
        <w:rPr>
          <w:b/>
          <w:bCs/>
          <w:color w:val="auto"/>
          <w:sz w:val="28"/>
          <w:szCs w:val="28"/>
        </w:rPr>
        <w:t>6.3</w:t>
      </w:r>
      <w:r>
        <w:rPr>
          <w:rFonts w:hint="eastAsia"/>
          <w:b/>
          <w:bCs/>
          <w:color w:val="auto"/>
          <w:sz w:val="28"/>
          <w:szCs w:val="28"/>
        </w:rPr>
        <w:t xml:space="preserve"> </w:t>
      </w:r>
      <w:r>
        <w:rPr>
          <w:b/>
          <w:bCs/>
          <w:color w:val="auto"/>
          <w:sz w:val="28"/>
          <w:szCs w:val="28"/>
        </w:rPr>
        <w:t>流动性和大流动性特细砂混凝土</w:t>
      </w:r>
      <w:bookmarkEnd w:id="81"/>
      <w:bookmarkEnd w:id="82"/>
    </w:p>
    <w:p>
      <w:pPr>
        <w:spacing w:line="360" w:lineRule="auto"/>
        <w:rPr>
          <w:color w:val="auto"/>
          <w:kern w:val="0"/>
          <w:sz w:val="24"/>
        </w:rPr>
      </w:pPr>
      <w:r>
        <w:rPr>
          <w:b/>
          <w:color w:val="auto"/>
          <w:kern w:val="0"/>
          <w:sz w:val="24"/>
        </w:rPr>
        <w:t>6.3.1</w:t>
      </w:r>
      <w:r>
        <w:rPr>
          <w:rFonts w:hint="eastAsia"/>
          <w:b/>
          <w:color w:val="auto"/>
          <w:kern w:val="0"/>
          <w:sz w:val="24"/>
        </w:rPr>
        <w:t xml:space="preserve">  </w:t>
      </w:r>
      <w:r>
        <w:rPr>
          <w:color w:val="auto"/>
          <w:kern w:val="0"/>
          <w:sz w:val="24"/>
        </w:rPr>
        <w:t>流动性和大流动性特细砂混凝土所采用的原材料应符合下列规定：</w:t>
      </w:r>
    </w:p>
    <w:p>
      <w:pPr>
        <w:spacing w:line="360" w:lineRule="auto"/>
        <w:ind w:firstLine="482" w:firstLineChars="200"/>
        <w:rPr>
          <w:color w:val="auto"/>
          <w:kern w:val="0"/>
          <w:sz w:val="24"/>
        </w:rPr>
      </w:pPr>
      <w:r>
        <w:rPr>
          <w:b/>
          <w:bCs/>
          <w:color w:val="auto"/>
          <w:kern w:val="0"/>
          <w:sz w:val="24"/>
        </w:rPr>
        <w:t>1</w:t>
      </w:r>
      <w:r>
        <w:rPr>
          <w:color w:val="auto"/>
          <w:kern w:val="0"/>
          <w:sz w:val="24"/>
        </w:rPr>
        <w:t xml:space="preserve"> 特细砂混凝土宜选用硅酸盐水泥、普通硅酸盐水泥、矿渣硅酸盐水泥或粉煤灰硅酸盐水泥；</w:t>
      </w:r>
    </w:p>
    <w:p>
      <w:pPr>
        <w:spacing w:line="360" w:lineRule="auto"/>
        <w:ind w:firstLine="482" w:firstLineChars="200"/>
        <w:rPr>
          <w:color w:val="auto"/>
          <w:kern w:val="0"/>
          <w:sz w:val="24"/>
        </w:rPr>
      </w:pPr>
      <w:r>
        <w:rPr>
          <w:b/>
          <w:bCs/>
          <w:color w:val="auto"/>
          <w:kern w:val="0"/>
          <w:sz w:val="24"/>
        </w:rPr>
        <w:t>2</w:t>
      </w:r>
      <w:r>
        <w:rPr>
          <w:color w:val="auto"/>
          <w:kern w:val="0"/>
          <w:sz w:val="24"/>
        </w:rPr>
        <w:t xml:space="preserve"> 特细砂混凝土宜掺用粉煤灰、粒化高炉矿渣粉等矿物掺合料；</w:t>
      </w:r>
    </w:p>
    <w:p>
      <w:pPr>
        <w:spacing w:line="360" w:lineRule="auto"/>
        <w:ind w:firstLine="482" w:firstLineChars="200"/>
        <w:rPr>
          <w:color w:val="auto"/>
          <w:kern w:val="0"/>
          <w:sz w:val="24"/>
        </w:rPr>
      </w:pPr>
      <w:r>
        <w:rPr>
          <w:b/>
          <w:bCs/>
          <w:color w:val="auto"/>
          <w:kern w:val="0"/>
          <w:sz w:val="24"/>
        </w:rPr>
        <w:t>3</w:t>
      </w:r>
      <w:r>
        <w:rPr>
          <w:color w:val="auto"/>
          <w:kern w:val="0"/>
          <w:sz w:val="24"/>
        </w:rPr>
        <w:t xml:space="preserve"> 特细砂混凝土应选用泵送剂或减水剂，并</w:t>
      </w:r>
      <w:r>
        <w:rPr>
          <w:rFonts w:hint="eastAsia"/>
          <w:color w:val="auto"/>
          <w:kern w:val="0"/>
          <w:sz w:val="24"/>
        </w:rPr>
        <w:t>依据《混凝土外加剂应用技术规程》 GB 50119</w:t>
      </w:r>
      <w:r>
        <w:rPr>
          <w:color w:val="auto"/>
          <w:kern w:val="0"/>
          <w:sz w:val="24"/>
        </w:rPr>
        <w:t>进行外加剂与胶凝材料的相容性试验。</w:t>
      </w:r>
    </w:p>
    <w:p>
      <w:pPr>
        <w:spacing w:line="360" w:lineRule="auto"/>
        <w:rPr>
          <w:color w:val="auto"/>
          <w:kern w:val="0"/>
          <w:sz w:val="24"/>
        </w:rPr>
      </w:pPr>
      <w:r>
        <w:rPr>
          <w:b/>
          <w:color w:val="auto"/>
          <w:kern w:val="0"/>
          <w:sz w:val="24"/>
        </w:rPr>
        <w:t>6.3.2</w:t>
      </w:r>
      <w:r>
        <w:rPr>
          <w:rFonts w:hint="eastAsia"/>
          <w:b/>
          <w:color w:val="auto"/>
          <w:kern w:val="0"/>
          <w:sz w:val="24"/>
        </w:rPr>
        <w:t xml:space="preserve">  </w:t>
      </w:r>
      <w:r>
        <w:rPr>
          <w:rFonts w:hint="eastAsia"/>
          <w:color w:val="auto"/>
          <w:kern w:val="0"/>
          <w:sz w:val="24"/>
        </w:rPr>
        <w:t>特细砂混凝土</w:t>
      </w:r>
      <w:r>
        <w:rPr>
          <w:color w:val="auto"/>
          <w:kern w:val="0"/>
          <w:sz w:val="24"/>
        </w:rPr>
        <w:t>配合比宜符合下列规定：</w:t>
      </w:r>
    </w:p>
    <w:p>
      <w:pPr>
        <w:spacing w:line="360" w:lineRule="auto"/>
        <w:ind w:firstLine="482" w:firstLineChars="200"/>
        <w:rPr>
          <w:color w:val="auto"/>
          <w:kern w:val="0"/>
          <w:sz w:val="24"/>
        </w:rPr>
      </w:pPr>
      <w:r>
        <w:rPr>
          <w:b/>
          <w:bCs/>
          <w:color w:val="auto"/>
          <w:kern w:val="0"/>
          <w:sz w:val="24"/>
        </w:rPr>
        <w:t>1</w:t>
      </w:r>
      <w:r>
        <w:rPr>
          <w:color w:val="auto"/>
          <w:kern w:val="0"/>
          <w:sz w:val="24"/>
        </w:rPr>
        <w:t xml:space="preserve"> 在配制相同等级的特细砂混凝土时，</w:t>
      </w:r>
      <w:r>
        <w:rPr>
          <w:color w:val="auto"/>
          <w:kern w:val="0"/>
          <w:sz w:val="24"/>
        </w:rPr>
        <w:t>特细砂混</w:t>
      </w:r>
      <w:r>
        <w:rPr>
          <w:color w:val="auto"/>
          <w:kern w:val="0"/>
          <w:sz w:val="24"/>
        </w:rPr>
        <w:t>凝土的用水量不宜超过200 kg / m</w:t>
      </w:r>
      <w:r>
        <w:rPr>
          <w:color w:val="auto"/>
          <w:kern w:val="0"/>
          <w:sz w:val="24"/>
          <w:vertAlign w:val="superscript"/>
        </w:rPr>
        <w:t>3</w:t>
      </w:r>
      <w:r>
        <w:rPr>
          <w:color w:val="auto"/>
          <w:kern w:val="0"/>
          <w:sz w:val="24"/>
        </w:rPr>
        <w:t xml:space="preserve"> ;</w:t>
      </w:r>
    </w:p>
    <w:p>
      <w:pPr>
        <w:spacing w:line="360" w:lineRule="auto"/>
        <w:ind w:firstLine="480" w:firstLineChars="200"/>
        <w:rPr>
          <w:color w:val="auto"/>
        </w:rPr>
      </w:pPr>
      <w:r>
        <w:rPr>
          <w:color w:val="auto"/>
          <w:kern w:val="0"/>
          <w:sz w:val="24"/>
        </w:rPr>
        <w:t>2 在采用相同细度模数的特细砂配制混凝土时，</w:t>
      </w:r>
      <w:r>
        <w:rPr>
          <w:color w:val="auto"/>
          <w:kern w:val="0"/>
          <w:sz w:val="24"/>
        </w:rPr>
        <w:t>特细砂</w:t>
      </w:r>
      <w:r>
        <w:rPr>
          <w:color w:val="auto"/>
          <w:kern w:val="0"/>
          <w:sz w:val="24"/>
        </w:rPr>
        <w:t>混凝土的砂率宜在塑性特细砂混凝土的基础上适当提高，</w:t>
      </w:r>
      <w:r>
        <w:rPr>
          <w:rFonts w:hint="eastAsia"/>
          <w:color w:val="auto"/>
          <w:kern w:val="0"/>
          <w:sz w:val="24"/>
          <w:lang w:eastAsia="zh-CN"/>
        </w:rPr>
        <w:t>且</w:t>
      </w:r>
      <w:r>
        <w:rPr>
          <w:color w:val="auto"/>
          <w:kern w:val="0"/>
          <w:sz w:val="24"/>
        </w:rPr>
        <w:t>不宜超过28 %。</w:t>
      </w:r>
    </w:p>
    <w:p>
      <w:pPr>
        <w:pStyle w:val="2"/>
        <w:keepNext/>
        <w:keepLines/>
        <w:pageBreakBefore w:val="0"/>
        <w:widowControl w:val="0"/>
        <w:kinsoku/>
        <w:wordWrap/>
        <w:overflowPunct/>
        <w:topLinePunct w:val="0"/>
        <w:autoSpaceDE/>
        <w:autoSpaceDN/>
        <w:bidi w:val="0"/>
        <w:adjustRightInd/>
        <w:snapToGrid/>
        <w:textAlignment w:val="auto"/>
        <w:rPr>
          <w:color w:val="auto"/>
        </w:rPr>
      </w:pPr>
      <w:bookmarkStart w:id="83" w:name="_Toc5673"/>
      <w:bookmarkStart w:id="84" w:name="_Toc31636"/>
      <w:r>
        <w:rPr>
          <w:color w:val="auto"/>
        </w:rPr>
        <w:t xml:space="preserve">7  </w:t>
      </w:r>
      <w:r>
        <w:rPr>
          <w:rFonts w:hint="eastAsia"/>
          <w:color w:val="auto"/>
        </w:rPr>
        <w:t>生产与施工</w:t>
      </w:r>
      <w:bookmarkEnd w:id="83"/>
      <w:bookmarkEnd w:id="84"/>
    </w:p>
    <w:p>
      <w:pPr>
        <w:pStyle w:val="3"/>
        <w:keepNext/>
        <w:keepLines/>
        <w:pageBreakBefore w:val="0"/>
        <w:widowControl w:val="0"/>
        <w:kinsoku/>
        <w:wordWrap/>
        <w:overflowPunct/>
        <w:topLinePunct w:val="0"/>
        <w:autoSpaceDE/>
        <w:autoSpaceDN/>
        <w:bidi w:val="0"/>
        <w:adjustRightInd/>
        <w:snapToGrid/>
        <w:spacing w:line="416" w:lineRule="auto"/>
        <w:textAlignment w:val="auto"/>
        <w:rPr>
          <w:color w:val="auto"/>
        </w:rPr>
      </w:pPr>
      <w:bookmarkStart w:id="85" w:name="_Toc10380"/>
      <w:bookmarkStart w:id="86" w:name="_Toc26302"/>
      <w:r>
        <w:rPr>
          <w:color w:val="auto"/>
        </w:rPr>
        <w:t xml:space="preserve">7.1 </w:t>
      </w:r>
      <w:r>
        <w:rPr>
          <w:rFonts w:hint="eastAsia"/>
          <w:color w:val="auto"/>
        </w:rPr>
        <w:t>一般规定</w:t>
      </w:r>
      <w:bookmarkEnd w:id="85"/>
      <w:bookmarkEnd w:id="86"/>
    </w:p>
    <w:p>
      <w:pPr>
        <w:spacing w:line="360" w:lineRule="auto"/>
        <w:rPr>
          <w:bCs/>
          <w:color w:val="auto"/>
          <w:sz w:val="24"/>
        </w:rPr>
      </w:pPr>
      <w:r>
        <w:rPr>
          <w:b/>
          <w:bCs/>
          <w:color w:val="auto"/>
          <w:sz w:val="24"/>
        </w:rPr>
        <w:t>7.1.1</w:t>
      </w:r>
      <w:r>
        <w:rPr>
          <w:rFonts w:hint="eastAsia"/>
          <w:bCs/>
          <w:color w:val="auto"/>
          <w:sz w:val="24"/>
        </w:rPr>
        <w:t>特细砂混凝土的施工应符合现行国家标准《混凝土结构工程施工规范》</w:t>
      </w:r>
      <w:r>
        <w:rPr>
          <w:bCs/>
          <w:color w:val="auto"/>
          <w:sz w:val="24"/>
        </w:rPr>
        <w:t>GB50666</w:t>
      </w:r>
      <w:r>
        <w:rPr>
          <w:rFonts w:hint="eastAsia"/>
          <w:bCs/>
          <w:color w:val="auto"/>
          <w:sz w:val="24"/>
        </w:rPr>
        <w:t>和《混凝土质量控制标准》</w:t>
      </w:r>
      <w:r>
        <w:rPr>
          <w:bCs/>
          <w:color w:val="auto"/>
          <w:sz w:val="24"/>
        </w:rPr>
        <w:t>GB50164</w:t>
      </w:r>
      <w:r>
        <w:rPr>
          <w:rFonts w:hint="eastAsia"/>
          <w:bCs/>
          <w:color w:val="auto"/>
          <w:sz w:val="24"/>
        </w:rPr>
        <w:t>的有关规定。</w:t>
      </w:r>
    </w:p>
    <w:p>
      <w:pPr>
        <w:spacing w:line="360" w:lineRule="auto"/>
        <w:rPr>
          <w:rFonts w:ascii="宋体" w:hAnsi="宋体"/>
          <w:color w:val="auto"/>
          <w:sz w:val="32"/>
          <w:szCs w:val="32"/>
        </w:rPr>
      </w:pPr>
      <w:r>
        <w:rPr>
          <w:b/>
          <w:bCs/>
          <w:color w:val="auto"/>
          <w:sz w:val="24"/>
        </w:rPr>
        <w:t xml:space="preserve">7.1.2 </w:t>
      </w:r>
      <w:r>
        <w:rPr>
          <w:rFonts w:hint="eastAsia"/>
          <w:bCs/>
          <w:color w:val="auto"/>
          <w:sz w:val="24"/>
        </w:rPr>
        <w:t>混凝土供应单位应在提供特细砂混凝土前，向施工单位进行技术交底和产品说明。</w:t>
      </w:r>
    </w:p>
    <w:p>
      <w:pPr>
        <w:spacing w:line="360" w:lineRule="auto"/>
        <w:rPr>
          <w:bCs/>
          <w:color w:val="auto"/>
          <w:sz w:val="24"/>
        </w:rPr>
      </w:pPr>
      <w:r>
        <w:rPr>
          <w:b/>
          <w:bCs/>
          <w:color w:val="auto"/>
          <w:sz w:val="24"/>
        </w:rPr>
        <w:t xml:space="preserve">7.1.3  </w:t>
      </w:r>
      <w:r>
        <w:rPr>
          <w:rFonts w:hint="eastAsia"/>
          <w:bCs/>
          <w:color w:val="auto"/>
          <w:sz w:val="24"/>
        </w:rPr>
        <w:t>施工单位应在施工前，根据</w:t>
      </w:r>
      <w:r>
        <w:rPr>
          <w:rFonts w:hint="eastAsia"/>
          <w:bCs/>
          <w:color w:val="auto"/>
          <w:sz w:val="24"/>
        </w:rPr>
        <w:t>设计要求、工程性质、结构特点和环境条件、混凝土供应单位的技术交底和产品说明</w:t>
      </w:r>
      <w:r>
        <w:rPr>
          <w:rFonts w:hint="eastAsia"/>
          <w:bCs/>
          <w:color w:val="auto"/>
          <w:sz w:val="24"/>
        </w:rPr>
        <w:t>等，制定特细砂混凝土施工技术方案，并向施工班组进行技术交底。</w:t>
      </w:r>
    </w:p>
    <w:p>
      <w:pPr>
        <w:pStyle w:val="3"/>
        <w:keepNext/>
        <w:keepLines/>
        <w:pageBreakBefore w:val="0"/>
        <w:widowControl w:val="0"/>
        <w:kinsoku/>
        <w:wordWrap/>
        <w:overflowPunct/>
        <w:topLinePunct w:val="0"/>
        <w:autoSpaceDE/>
        <w:autoSpaceDN/>
        <w:bidi w:val="0"/>
        <w:adjustRightInd/>
        <w:snapToGrid/>
        <w:spacing w:line="360" w:lineRule="auto"/>
        <w:textAlignment w:val="auto"/>
        <w:rPr>
          <w:color w:val="auto"/>
        </w:rPr>
      </w:pPr>
      <w:bookmarkStart w:id="87" w:name="_Toc27727"/>
      <w:bookmarkStart w:id="88" w:name="_Toc4557"/>
      <w:r>
        <w:rPr>
          <w:color w:val="auto"/>
        </w:rPr>
        <w:t>7.</w:t>
      </w:r>
      <w:r>
        <w:rPr>
          <w:rFonts w:hint="eastAsia"/>
          <w:color w:val="auto"/>
        </w:rPr>
        <w:t>2</w:t>
      </w:r>
      <w:r>
        <w:rPr>
          <w:color w:val="auto"/>
        </w:rPr>
        <w:t xml:space="preserve"> </w:t>
      </w:r>
      <w:r>
        <w:rPr>
          <w:rFonts w:hint="eastAsia"/>
          <w:color w:val="auto"/>
        </w:rPr>
        <w:t>混凝土生产</w:t>
      </w:r>
      <w:bookmarkEnd w:id="87"/>
      <w:bookmarkEnd w:id="88"/>
    </w:p>
    <w:p>
      <w:pPr>
        <w:spacing w:line="360" w:lineRule="auto"/>
        <w:rPr>
          <w:bCs/>
          <w:color w:val="auto"/>
          <w:sz w:val="24"/>
        </w:rPr>
      </w:pPr>
      <w:r>
        <w:rPr>
          <w:b/>
          <w:bCs/>
          <w:color w:val="auto"/>
          <w:sz w:val="24"/>
        </w:rPr>
        <w:t>7</w:t>
      </w:r>
      <w:r>
        <w:rPr>
          <w:rFonts w:hint="eastAsia"/>
          <w:b/>
          <w:bCs/>
          <w:color w:val="auto"/>
          <w:sz w:val="24"/>
          <w:lang w:val="en-US" w:eastAsia="zh-CN"/>
        </w:rPr>
        <w:t>.</w:t>
      </w:r>
      <w:r>
        <w:rPr>
          <w:b/>
          <w:bCs/>
          <w:color w:val="auto"/>
          <w:sz w:val="24"/>
        </w:rPr>
        <w:t xml:space="preserve">2.1  </w:t>
      </w:r>
      <w:r>
        <w:rPr>
          <w:rFonts w:hint="eastAsia"/>
          <w:bCs/>
          <w:color w:val="auto"/>
          <w:sz w:val="24"/>
        </w:rPr>
        <w:t>原材料称量宜采用自动计量，严格按照施工配合比进行。每盘原材料计量的允许偏差应符合表</w:t>
      </w:r>
      <w:r>
        <w:rPr>
          <w:bCs/>
          <w:color w:val="auto"/>
          <w:sz w:val="24"/>
        </w:rPr>
        <w:t>7.2.1</w:t>
      </w:r>
      <w:r>
        <w:rPr>
          <w:rFonts w:hint="eastAsia"/>
          <w:bCs/>
          <w:color w:val="auto"/>
          <w:sz w:val="24"/>
        </w:rPr>
        <w:t>的规定。</w:t>
      </w:r>
    </w:p>
    <w:p>
      <w:pPr>
        <w:spacing w:line="360" w:lineRule="auto"/>
        <w:jc w:val="center"/>
        <w:rPr>
          <w:bCs/>
          <w:color w:val="auto"/>
          <w:sz w:val="24"/>
        </w:rPr>
      </w:pPr>
      <w:r>
        <w:rPr>
          <w:rFonts w:hint="eastAsia"/>
          <w:bCs/>
          <w:color w:val="auto"/>
          <w:sz w:val="24"/>
        </w:rPr>
        <w:t>表</w:t>
      </w:r>
      <w:r>
        <w:rPr>
          <w:bCs/>
          <w:color w:val="auto"/>
          <w:sz w:val="24"/>
        </w:rPr>
        <w:t xml:space="preserve">7.2.1  </w:t>
      </w:r>
      <w:r>
        <w:rPr>
          <w:rFonts w:hint="eastAsia"/>
          <w:bCs/>
          <w:color w:val="auto"/>
          <w:sz w:val="24"/>
        </w:rPr>
        <w:t>每盘原材料计量的</w:t>
      </w:r>
      <w:r>
        <w:rPr>
          <w:rFonts w:hint="eastAsia"/>
          <w:bCs/>
          <w:color w:val="auto"/>
          <w:sz w:val="24"/>
        </w:rPr>
        <w:t>允</w:t>
      </w:r>
      <w:r>
        <w:rPr>
          <w:rFonts w:hint="eastAsia"/>
          <w:bCs/>
          <w:color w:val="auto"/>
          <w:sz w:val="24"/>
        </w:rPr>
        <w:t>许偏差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原材料种类</w:t>
            </w:r>
          </w:p>
        </w:tc>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允许偏差（按质量计）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jc w:val="center"/>
              <w:rPr>
                <w:bCs/>
                <w:color w:val="auto"/>
                <w:sz w:val="24"/>
              </w:rPr>
            </w:pPr>
            <w:r>
              <w:rPr>
                <w:rFonts w:hint="eastAsia"/>
                <w:bCs/>
                <w:color w:val="auto"/>
                <w:sz w:val="24"/>
              </w:rPr>
              <w:t>胶凝材料</w:t>
            </w:r>
          </w:p>
        </w:tc>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w:t>
            </w:r>
            <w:r>
              <w:rPr>
                <w:bCs/>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外加剂</w:t>
            </w:r>
          </w:p>
        </w:tc>
        <w:tc>
          <w:tcPr>
            <w:tcW w:w="4261" w:type="dxa"/>
            <w:noWrap w:val="0"/>
            <w:vAlign w:val="top"/>
          </w:tcPr>
          <w:p>
            <w:pPr>
              <w:spacing w:line="360" w:lineRule="auto"/>
              <w:jc w:val="center"/>
              <w:rPr>
                <w:color w:val="auto"/>
                <w:sz w:val="30"/>
                <w:szCs w:val="30"/>
              </w:rPr>
            </w:pPr>
            <w:r>
              <w:rPr>
                <w:rFonts w:hint="eastAsia"/>
                <w:bCs/>
                <w:color w:val="auto"/>
                <w:sz w:val="24"/>
              </w:rPr>
              <w:t>±</w:t>
            </w:r>
            <w:r>
              <w:rPr>
                <w:bCs/>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粗、细骨料</w:t>
            </w:r>
          </w:p>
        </w:tc>
        <w:tc>
          <w:tcPr>
            <w:tcW w:w="4261" w:type="dxa"/>
            <w:noWrap w:val="0"/>
            <w:vAlign w:val="top"/>
          </w:tcPr>
          <w:p>
            <w:pPr>
              <w:spacing w:line="360" w:lineRule="auto"/>
              <w:jc w:val="center"/>
              <w:rPr>
                <w:color w:val="auto"/>
                <w:sz w:val="30"/>
                <w:szCs w:val="30"/>
              </w:rPr>
            </w:pPr>
            <w:r>
              <w:rPr>
                <w:rFonts w:hint="eastAsia"/>
                <w:bCs/>
                <w:color w:val="auto"/>
                <w:sz w:val="24"/>
              </w:rPr>
              <w:t>±</w:t>
            </w:r>
            <w:r>
              <w:rPr>
                <w:bCs/>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拌合用水</w:t>
            </w:r>
          </w:p>
        </w:tc>
        <w:tc>
          <w:tcPr>
            <w:tcW w:w="4261" w:type="dxa"/>
            <w:noWrap w:val="0"/>
            <w:vAlign w:val="top"/>
          </w:tcPr>
          <w:p>
            <w:pPr>
              <w:spacing w:line="360" w:lineRule="auto"/>
              <w:jc w:val="center"/>
              <w:rPr>
                <w:color w:val="auto"/>
                <w:sz w:val="30"/>
                <w:szCs w:val="30"/>
              </w:rPr>
            </w:pPr>
            <w:r>
              <w:rPr>
                <w:rFonts w:hint="eastAsia"/>
                <w:bCs/>
                <w:color w:val="auto"/>
                <w:sz w:val="24"/>
              </w:rPr>
              <w:t>±</w:t>
            </w:r>
            <w:r>
              <w:rPr>
                <w:bCs/>
                <w:color w:val="auto"/>
                <w:sz w:val="24"/>
              </w:rPr>
              <w:t>1%</w:t>
            </w:r>
          </w:p>
        </w:tc>
      </w:tr>
    </w:tbl>
    <w:p>
      <w:pPr>
        <w:spacing w:line="360" w:lineRule="auto"/>
        <w:rPr>
          <w:rFonts w:ascii="宋体" w:hAnsi="宋体"/>
          <w:color w:val="auto"/>
          <w:sz w:val="11"/>
          <w:szCs w:val="11"/>
        </w:rPr>
      </w:pPr>
    </w:p>
    <w:p>
      <w:pPr>
        <w:spacing w:line="360" w:lineRule="auto"/>
        <w:rPr>
          <w:b/>
          <w:bCs/>
          <w:color w:val="auto"/>
          <w:sz w:val="24"/>
        </w:rPr>
      </w:pPr>
      <w:r>
        <w:rPr>
          <w:b/>
          <w:bCs/>
          <w:color w:val="auto"/>
          <w:sz w:val="24"/>
        </w:rPr>
        <w:t>7.2.2</w:t>
      </w:r>
      <w:r>
        <w:rPr>
          <w:b/>
          <w:bCs/>
          <w:color w:val="auto"/>
          <w:sz w:val="24"/>
        </w:rPr>
        <w:t xml:space="preserve"> </w:t>
      </w:r>
      <w:r>
        <w:rPr>
          <w:rFonts w:hint="eastAsia"/>
          <w:bCs/>
          <w:color w:val="auto"/>
          <w:sz w:val="24"/>
        </w:rPr>
        <w:t>特细砂、粗骨料含水率的检验应每工作班不少于</w:t>
      </w:r>
      <w:r>
        <w:rPr>
          <w:bCs/>
          <w:color w:val="auto"/>
          <w:sz w:val="24"/>
        </w:rPr>
        <w:t>1</w:t>
      </w:r>
      <w:r>
        <w:rPr>
          <w:rFonts w:hint="eastAsia"/>
          <w:bCs/>
          <w:color w:val="auto"/>
          <w:sz w:val="24"/>
        </w:rPr>
        <w:t>次；当雨雪天气等外界影响导致混凝土骨料含水率变化时，应及时检验，并应根据检验结果及时调整施工配合比。</w:t>
      </w:r>
    </w:p>
    <w:p>
      <w:pPr>
        <w:spacing w:line="360" w:lineRule="auto"/>
        <w:rPr>
          <w:rFonts w:ascii="宋体" w:hAnsi="宋体"/>
          <w:color w:val="auto"/>
          <w:sz w:val="32"/>
          <w:szCs w:val="32"/>
        </w:rPr>
      </w:pPr>
      <w:r>
        <w:rPr>
          <w:b/>
          <w:bCs/>
          <w:color w:val="auto"/>
          <w:sz w:val="24"/>
        </w:rPr>
        <w:t>7.2.</w:t>
      </w:r>
      <w:r>
        <w:rPr>
          <w:rFonts w:hint="eastAsia"/>
          <w:b/>
          <w:bCs/>
          <w:color w:val="auto"/>
          <w:sz w:val="24"/>
        </w:rPr>
        <w:t>3</w:t>
      </w:r>
      <w:r>
        <w:rPr>
          <w:rFonts w:hint="eastAsia"/>
          <w:b/>
          <w:bCs/>
          <w:color w:val="auto"/>
          <w:sz w:val="24"/>
          <w:lang w:val="en-US" w:eastAsia="zh-CN"/>
        </w:rPr>
        <w:t xml:space="preserve"> </w:t>
      </w:r>
      <w:r>
        <w:rPr>
          <w:rFonts w:hint="eastAsia"/>
          <w:bCs/>
          <w:color w:val="auto"/>
          <w:sz w:val="24"/>
        </w:rPr>
        <w:t>混凝土搅拌机应符合现行国家标准</w:t>
      </w:r>
      <w:r>
        <w:rPr>
          <w:rFonts w:hint="eastAsia"/>
          <w:bCs/>
          <w:color w:val="auto"/>
          <w:sz w:val="24"/>
        </w:rPr>
        <w:t>《建筑施工机械与设备混凝土搅拌站（楼）》</w:t>
      </w:r>
      <w:r>
        <w:rPr>
          <w:bCs/>
          <w:color w:val="auto"/>
          <w:sz w:val="24"/>
        </w:rPr>
        <w:t>GB/T10171</w:t>
      </w:r>
      <w:r>
        <w:rPr>
          <w:rFonts w:hint="eastAsia"/>
          <w:bCs/>
          <w:color w:val="auto"/>
          <w:sz w:val="24"/>
        </w:rPr>
        <w:t>的有关规定。</w:t>
      </w:r>
    </w:p>
    <w:p>
      <w:pPr>
        <w:spacing w:line="360" w:lineRule="auto"/>
        <w:rPr>
          <w:bCs/>
          <w:color w:val="auto"/>
          <w:sz w:val="24"/>
        </w:rPr>
      </w:pPr>
      <w:r>
        <w:rPr>
          <w:b/>
          <w:bCs/>
          <w:color w:val="auto"/>
          <w:sz w:val="24"/>
        </w:rPr>
        <w:t>7.2.</w:t>
      </w:r>
      <w:r>
        <w:rPr>
          <w:rFonts w:hint="eastAsia"/>
          <w:b/>
          <w:bCs/>
          <w:color w:val="auto"/>
          <w:sz w:val="24"/>
          <w:lang w:val="en-US" w:eastAsia="zh-CN"/>
        </w:rPr>
        <w:t>4</w:t>
      </w:r>
      <w:r>
        <w:rPr>
          <w:rFonts w:hint="eastAsia"/>
          <w:b/>
          <w:bCs/>
          <w:color w:val="auto"/>
          <w:sz w:val="24"/>
          <w:lang w:val="en-US" w:eastAsia="zh-CN"/>
        </w:rPr>
        <w:t xml:space="preserve"> </w:t>
      </w:r>
      <w:r>
        <w:rPr>
          <w:b/>
          <w:bCs/>
          <w:color w:val="auto"/>
          <w:sz w:val="24"/>
        </w:rPr>
        <w:t xml:space="preserve"> </w:t>
      </w:r>
      <w:r>
        <w:rPr>
          <w:rFonts w:hint="eastAsia"/>
          <w:bCs/>
          <w:color w:val="auto"/>
          <w:sz w:val="24"/>
        </w:rPr>
        <w:t>特细砂混凝土的坍落度允许偏差应符合表</w:t>
      </w:r>
      <w:r>
        <w:rPr>
          <w:bCs/>
          <w:color w:val="auto"/>
          <w:sz w:val="24"/>
        </w:rPr>
        <w:t>7.2.</w:t>
      </w:r>
      <w:r>
        <w:rPr>
          <w:rFonts w:hint="eastAsia"/>
          <w:bCs/>
          <w:color w:val="auto"/>
          <w:sz w:val="24"/>
          <w:lang w:val="en-US" w:eastAsia="zh-CN"/>
        </w:rPr>
        <w:t>4</w:t>
      </w:r>
      <w:r>
        <w:rPr>
          <w:rFonts w:hint="eastAsia"/>
          <w:bCs/>
          <w:color w:val="auto"/>
          <w:sz w:val="24"/>
        </w:rPr>
        <w:t>的规定。</w:t>
      </w:r>
    </w:p>
    <w:p>
      <w:pPr>
        <w:spacing w:line="360" w:lineRule="auto"/>
        <w:jc w:val="center"/>
        <w:rPr>
          <w:rFonts w:hint="eastAsia"/>
          <w:bCs/>
          <w:color w:val="auto"/>
          <w:sz w:val="24"/>
        </w:rPr>
      </w:pPr>
    </w:p>
    <w:p>
      <w:pPr>
        <w:spacing w:line="360" w:lineRule="auto"/>
        <w:jc w:val="center"/>
        <w:rPr>
          <w:bCs/>
          <w:color w:val="auto"/>
          <w:sz w:val="24"/>
        </w:rPr>
      </w:pPr>
      <w:r>
        <w:rPr>
          <w:rFonts w:hint="eastAsia"/>
          <w:bCs/>
          <w:color w:val="auto"/>
          <w:sz w:val="24"/>
        </w:rPr>
        <w:t>表</w:t>
      </w:r>
      <w:r>
        <w:rPr>
          <w:bCs/>
          <w:color w:val="auto"/>
          <w:sz w:val="24"/>
        </w:rPr>
        <w:t>7.2.</w:t>
      </w:r>
      <w:r>
        <w:rPr>
          <w:rFonts w:hint="eastAsia"/>
          <w:bCs/>
          <w:color w:val="auto"/>
          <w:sz w:val="24"/>
          <w:lang w:val="en-US" w:eastAsia="zh-CN"/>
        </w:rPr>
        <w:t>4</w:t>
      </w:r>
      <w:r>
        <w:rPr>
          <w:bCs/>
          <w:color w:val="auto"/>
          <w:sz w:val="24"/>
        </w:rPr>
        <w:t xml:space="preserve">    </w:t>
      </w:r>
      <w:r>
        <w:rPr>
          <w:rFonts w:hint="eastAsia"/>
          <w:bCs/>
          <w:color w:val="auto"/>
          <w:sz w:val="24"/>
        </w:rPr>
        <w:t>坍落度</w:t>
      </w:r>
      <w:r>
        <w:rPr>
          <w:rFonts w:hint="eastAsia"/>
          <w:bCs/>
          <w:color w:val="auto"/>
          <w:sz w:val="24"/>
        </w:rPr>
        <w:t>允</w:t>
      </w:r>
      <w:r>
        <w:rPr>
          <w:rFonts w:hint="eastAsia"/>
          <w:bCs/>
          <w:color w:val="auto"/>
          <w:sz w:val="24"/>
        </w:rPr>
        <w:t>许偏差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jc w:val="center"/>
              <w:rPr>
                <w:rFonts w:hint="eastAsia" w:ascii="宋体" w:hAnsi="宋体" w:eastAsia="宋体"/>
                <w:color w:val="auto"/>
                <w:sz w:val="30"/>
                <w:szCs w:val="30"/>
                <w:lang w:eastAsia="zh-CN"/>
              </w:rPr>
            </w:pPr>
            <w:r>
              <w:rPr>
                <w:rFonts w:hint="eastAsia"/>
                <w:bCs/>
                <w:color w:val="auto"/>
                <w:sz w:val="24"/>
              </w:rPr>
              <w:t>坍落度</w:t>
            </w:r>
            <w:r>
              <w:rPr>
                <w:rFonts w:hint="eastAsia"/>
                <w:bCs/>
                <w:color w:val="auto"/>
                <w:sz w:val="24"/>
                <w:lang w:eastAsia="zh-CN"/>
              </w:rPr>
              <w:t>（</w:t>
            </w:r>
            <w:r>
              <w:rPr>
                <w:bCs/>
                <w:color w:val="auto"/>
                <w:sz w:val="24"/>
              </w:rPr>
              <w:t>mm</w:t>
            </w:r>
            <w:r>
              <w:rPr>
                <w:rFonts w:hint="eastAsia"/>
                <w:bCs/>
                <w:color w:val="auto"/>
                <w:sz w:val="24"/>
                <w:lang w:eastAsia="zh-CN"/>
              </w:rPr>
              <w:t>）</w:t>
            </w:r>
          </w:p>
        </w:tc>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允许偏差（</w:t>
            </w:r>
            <w:r>
              <w:rPr>
                <w:rFonts w:hint="eastAsia"/>
                <w:bCs/>
                <w:color w:val="auto"/>
                <w:sz w:val="24"/>
                <w:lang w:val="en-US" w:eastAsia="zh-CN"/>
              </w:rPr>
              <w:t>mm</w:t>
            </w:r>
            <w:r>
              <w:rPr>
                <w:rFonts w:hint="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w:t>
            </w:r>
            <w:r>
              <w:rPr>
                <w:bCs/>
                <w:color w:val="auto"/>
                <w:sz w:val="24"/>
              </w:rPr>
              <w:t>40</w:t>
            </w:r>
          </w:p>
        </w:tc>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w:t>
            </w:r>
            <w:r>
              <w:rPr>
                <w:bCs/>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1" w:type="dxa"/>
            <w:noWrap w:val="0"/>
            <w:vAlign w:val="top"/>
          </w:tcPr>
          <w:p>
            <w:pPr>
              <w:spacing w:line="360" w:lineRule="auto"/>
              <w:jc w:val="center"/>
              <w:rPr>
                <w:rFonts w:ascii="宋体" w:hAnsi="宋体"/>
                <w:color w:val="auto"/>
                <w:sz w:val="30"/>
                <w:szCs w:val="30"/>
              </w:rPr>
            </w:pPr>
            <w:r>
              <w:rPr>
                <w:bCs/>
                <w:color w:val="auto"/>
                <w:sz w:val="24"/>
              </w:rPr>
              <w:t>50</w:t>
            </w:r>
            <w:r>
              <w:rPr>
                <w:rFonts w:hint="eastAsia"/>
                <w:bCs/>
                <w:color w:val="auto"/>
                <w:sz w:val="24"/>
              </w:rPr>
              <w:t>～</w:t>
            </w:r>
            <w:r>
              <w:rPr>
                <w:bCs/>
                <w:color w:val="auto"/>
                <w:sz w:val="24"/>
              </w:rPr>
              <w:t>90</w:t>
            </w:r>
          </w:p>
        </w:tc>
        <w:tc>
          <w:tcPr>
            <w:tcW w:w="4261" w:type="dxa"/>
            <w:noWrap w:val="0"/>
            <w:vAlign w:val="top"/>
          </w:tcPr>
          <w:p>
            <w:pPr>
              <w:spacing w:line="360" w:lineRule="auto"/>
              <w:jc w:val="center"/>
              <w:rPr>
                <w:color w:val="auto"/>
                <w:sz w:val="30"/>
                <w:szCs w:val="30"/>
              </w:rPr>
            </w:pPr>
            <w:r>
              <w:rPr>
                <w:rFonts w:hint="eastAsia"/>
                <w:bCs/>
                <w:color w:val="auto"/>
                <w:sz w:val="24"/>
              </w:rPr>
              <w:t>±</w:t>
            </w:r>
            <w:r>
              <w:rPr>
                <w:bCs/>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jc w:val="center"/>
              <w:rPr>
                <w:rFonts w:ascii="宋体" w:hAnsi="宋体"/>
                <w:color w:val="auto"/>
                <w:sz w:val="30"/>
                <w:szCs w:val="30"/>
              </w:rPr>
            </w:pPr>
            <w:r>
              <w:rPr>
                <w:rFonts w:hint="eastAsia"/>
                <w:bCs/>
                <w:color w:val="auto"/>
                <w:sz w:val="24"/>
              </w:rPr>
              <w:t>≥</w:t>
            </w:r>
            <w:r>
              <w:rPr>
                <w:bCs/>
                <w:color w:val="auto"/>
                <w:sz w:val="24"/>
              </w:rPr>
              <w:t>100</w:t>
            </w:r>
          </w:p>
        </w:tc>
        <w:tc>
          <w:tcPr>
            <w:tcW w:w="4261" w:type="dxa"/>
            <w:noWrap w:val="0"/>
            <w:vAlign w:val="top"/>
          </w:tcPr>
          <w:p>
            <w:pPr>
              <w:spacing w:line="360" w:lineRule="auto"/>
              <w:jc w:val="center"/>
              <w:rPr>
                <w:color w:val="auto"/>
                <w:sz w:val="30"/>
                <w:szCs w:val="30"/>
              </w:rPr>
            </w:pPr>
            <w:r>
              <w:rPr>
                <w:rFonts w:hint="eastAsia"/>
                <w:bCs/>
                <w:color w:val="auto"/>
                <w:sz w:val="24"/>
              </w:rPr>
              <w:t>±</w:t>
            </w:r>
            <w:r>
              <w:rPr>
                <w:bCs/>
                <w:color w:val="auto"/>
                <w:sz w:val="24"/>
              </w:rPr>
              <w:t>30</w:t>
            </w:r>
          </w:p>
        </w:tc>
      </w:tr>
    </w:tbl>
    <w:p>
      <w:pPr>
        <w:spacing w:line="360" w:lineRule="auto"/>
        <w:rPr>
          <w:rFonts w:ascii="宋体" w:hAnsi="宋体"/>
          <w:color w:val="auto"/>
          <w:sz w:val="11"/>
          <w:szCs w:val="11"/>
        </w:rPr>
      </w:pPr>
    </w:p>
    <w:p>
      <w:pPr>
        <w:spacing w:line="360" w:lineRule="auto"/>
        <w:rPr>
          <w:bCs/>
          <w:color w:val="auto"/>
          <w:sz w:val="24"/>
        </w:rPr>
      </w:pPr>
      <w:r>
        <w:rPr>
          <w:b/>
          <w:bCs/>
          <w:color w:val="auto"/>
          <w:sz w:val="24"/>
        </w:rPr>
        <w:t>7.2.</w:t>
      </w:r>
      <w:r>
        <w:rPr>
          <w:rFonts w:hint="eastAsia"/>
          <w:b/>
          <w:bCs/>
          <w:color w:val="auto"/>
          <w:sz w:val="24"/>
          <w:lang w:val="en-US" w:eastAsia="zh-CN"/>
        </w:rPr>
        <w:t>5</w:t>
      </w:r>
      <w:r>
        <w:rPr>
          <w:b/>
          <w:bCs/>
          <w:color w:val="auto"/>
          <w:sz w:val="24"/>
        </w:rPr>
        <w:t xml:space="preserve">  </w:t>
      </w:r>
      <w:r>
        <w:rPr>
          <w:rFonts w:hint="eastAsia"/>
          <w:bCs/>
          <w:color w:val="auto"/>
          <w:sz w:val="24"/>
        </w:rPr>
        <w:t>采用泵送施工的特细砂混凝土，应符合现行行业标准《混凝土泵送施工技术标准》</w:t>
      </w:r>
      <w:r>
        <w:rPr>
          <w:bCs/>
          <w:color w:val="auto"/>
          <w:sz w:val="24"/>
        </w:rPr>
        <w:t>JGJ/T10</w:t>
      </w:r>
      <w:r>
        <w:rPr>
          <w:rFonts w:hint="eastAsia"/>
          <w:bCs/>
          <w:color w:val="auto"/>
          <w:sz w:val="24"/>
        </w:rPr>
        <w:t>的有关规定，并应能保证混凝土的连续泵送。</w:t>
      </w:r>
    </w:p>
    <w:p>
      <w:pPr>
        <w:spacing w:line="360" w:lineRule="auto"/>
        <w:rPr>
          <w:rFonts w:ascii="宋体" w:hAnsi="宋体"/>
          <w:color w:val="auto"/>
          <w:sz w:val="30"/>
          <w:szCs w:val="30"/>
        </w:rPr>
      </w:pPr>
      <w:r>
        <w:rPr>
          <w:b/>
          <w:bCs/>
          <w:color w:val="auto"/>
          <w:sz w:val="24"/>
        </w:rPr>
        <w:t>7.2.</w:t>
      </w:r>
      <w:r>
        <w:rPr>
          <w:rFonts w:hint="eastAsia"/>
          <w:b/>
          <w:bCs/>
          <w:color w:val="auto"/>
          <w:sz w:val="24"/>
          <w:lang w:val="en-US" w:eastAsia="zh-CN"/>
        </w:rPr>
        <w:t>6</w:t>
      </w:r>
      <w:r>
        <w:rPr>
          <w:b/>
          <w:bCs/>
          <w:color w:val="auto"/>
          <w:sz w:val="24"/>
        </w:rPr>
        <w:t xml:space="preserve">  </w:t>
      </w:r>
      <w:r>
        <w:rPr>
          <w:rFonts w:hint="eastAsia"/>
          <w:bCs/>
          <w:color w:val="auto"/>
          <w:sz w:val="24"/>
        </w:rPr>
        <w:t>混凝土运至浇筑地点，坍落度不符合</w:t>
      </w:r>
      <w:r>
        <w:rPr>
          <w:rFonts w:hint="eastAsia"/>
          <w:bCs/>
          <w:color w:val="auto"/>
          <w:sz w:val="24"/>
        </w:rPr>
        <w:t>施工</w:t>
      </w:r>
      <w:r>
        <w:rPr>
          <w:rFonts w:hint="eastAsia"/>
          <w:bCs/>
          <w:color w:val="auto"/>
          <w:sz w:val="24"/>
        </w:rPr>
        <w:t>要求时，应根据情况调整。可在运输车罐内添加适量减水剂（掺量范围应经试验确定），并记录掺加量，减水剂的组成和性能应与生产混凝土用外加剂一致</w:t>
      </w:r>
      <w:r>
        <w:rPr>
          <w:rFonts w:hint="eastAsia"/>
          <w:bCs/>
          <w:color w:val="auto"/>
          <w:sz w:val="24"/>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rPr>
          <w:color w:val="auto"/>
        </w:rPr>
      </w:pPr>
      <w:bookmarkStart w:id="89" w:name="_Toc31344"/>
      <w:bookmarkStart w:id="90" w:name="_Toc10090"/>
      <w:r>
        <w:rPr>
          <w:color w:val="auto"/>
        </w:rPr>
        <w:t>7.</w:t>
      </w:r>
      <w:r>
        <w:rPr>
          <w:rFonts w:hint="eastAsia"/>
          <w:color w:val="auto"/>
        </w:rPr>
        <w:t>3</w:t>
      </w:r>
      <w:r>
        <w:rPr>
          <w:color w:val="auto"/>
        </w:rPr>
        <w:t xml:space="preserve"> </w:t>
      </w:r>
      <w:r>
        <w:rPr>
          <w:rFonts w:hint="eastAsia"/>
          <w:color w:val="auto"/>
        </w:rPr>
        <w:t>混凝土施工</w:t>
      </w:r>
      <w:bookmarkEnd w:id="89"/>
      <w:bookmarkEnd w:id="90"/>
    </w:p>
    <w:p>
      <w:pPr>
        <w:spacing w:line="360" w:lineRule="auto"/>
        <w:rPr>
          <w:bCs/>
          <w:color w:val="auto"/>
          <w:sz w:val="24"/>
        </w:rPr>
      </w:pPr>
      <w:r>
        <w:rPr>
          <w:b/>
          <w:bCs/>
          <w:color w:val="auto"/>
          <w:sz w:val="24"/>
        </w:rPr>
        <w:t xml:space="preserve">7.3.1  </w:t>
      </w:r>
      <w:r>
        <w:rPr>
          <w:rFonts w:hint="eastAsia"/>
          <w:bCs/>
          <w:color w:val="auto"/>
          <w:sz w:val="24"/>
        </w:rPr>
        <w:t>混凝土浇筑时的自由倾落高度不宜大于</w:t>
      </w:r>
      <w:r>
        <w:rPr>
          <w:bCs/>
          <w:color w:val="auto"/>
          <w:sz w:val="24"/>
        </w:rPr>
        <w:t>3m</w:t>
      </w:r>
      <w:r>
        <w:rPr>
          <w:rFonts w:hint="eastAsia"/>
          <w:bCs/>
          <w:color w:val="auto"/>
          <w:sz w:val="24"/>
        </w:rPr>
        <w:t>，当大于</w:t>
      </w:r>
      <w:r>
        <w:rPr>
          <w:bCs/>
          <w:color w:val="auto"/>
          <w:sz w:val="24"/>
        </w:rPr>
        <w:t>3m</w:t>
      </w:r>
      <w:r>
        <w:rPr>
          <w:rFonts w:hint="eastAsia"/>
          <w:bCs/>
          <w:color w:val="auto"/>
          <w:sz w:val="24"/>
        </w:rPr>
        <w:t>时，应采用滑槽、漏斗、串筒等器具辅助输送混凝土。</w:t>
      </w:r>
    </w:p>
    <w:p>
      <w:pPr>
        <w:spacing w:line="360" w:lineRule="auto"/>
        <w:rPr>
          <w:bCs/>
          <w:color w:val="auto"/>
          <w:sz w:val="24"/>
        </w:rPr>
      </w:pPr>
      <w:r>
        <w:rPr>
          <w:b/>
          <w:bCs/>
          <w:color w:val="auto"/>
          <w:sz w:val="24"/>
        </w:rPr>
        <w:t xml:space="preserve">7.3.2  </w:t>
      </w:r>
      <w:r>
        <w:rPr>
          <w:rFonts w:hint="eastAsia"/>
          <w:bCs/>
          <w:color w:val="auto"/>
          <w:sz w:val="24"/>
        </w:rPr>
        <w:t>当风速大于</w:t>
      </w:r>
      <w:r>
        <w:rPr>
          <w:bCs/>
          <w:color w:val="auto"/>
          <w:sz w:val="24"/>
        </w:rPr>
        <w:t>5.0m/s</w:t>
      </w:r>
      <w:r>
        <w:rPr>
          <w:rFonts w:hint="eastAsia"/>
          <w:bCs/>
          <w:color w:val="auto"/>
          <w:sz w:val="24"/>
        </w:rPr>
        <w:t>时，特细砂混凝土浇筑</w:t>
      </w:r>
      <w:r>
        <w:rPr>
          <w:rFonts w:hint="eastAsia"/>
          <w:bCs/>
          <w:color w:val="auto"/>
          <w:sz w:val="24"/>
        </w:rPr>
        <w:t>及养护期间</w:t>
      </w:r>
      <w:r>
        <w:rPr>
          <w:rFonts w:hint="eastAsia"/>
          <w:bCs/>
          <w:color w:val="auto"/>
          <w:sz w:val="24"/>
          <w:lang w:eastAsia="zh-CN"/>
        </w:rPr>
        <w:t>应</w:t>
      </w:r>
      <w:r>
        <w:rPr>
          <w:rFonts w:hint="eastAsia"/>
          <w:bCs/>
          <w:color w:val="auto"/>
          <w:sz w:val="24"/>
        </w:rPr>
        <w:t>采</w:t>
      </w:r>
      <w:r>
        <w:rPr>
          <w:rFonts w:hint="eastAsia"/>
          <w:bCs/>
          <w:color w:val="auto"/>
          <w:sz w:val="24"/>
        </w:rPr>
        <w:t>取挡风措施。</w:t>
      </w:r>
    </w:p>
    <w:p>
      <w:pPr>
        <w:spacing w:line="360" w:lineRule="auto"/>
        <w:rPr>
          <w:bCs/>
          <w:color w:val="auto"/>
          <w:sz w:val="24"/>
        </w:rPr>
      </w:pPr>
      <w:r>
        <w:rPr>
          <w:b/>
          <w:bCs/>
          <w:color w:val="auto"/>
          <w:sz w:val="24"/>
        </w:rPr>
        <w:t xml:space="preserve">7.3.3  </w:t>
      </w:r>
      <w:r>
        <w:rPr>
          <w:rFonts w:hint="eastAsia"/>
          <w:bCs/>
          <w:color w:val="auto"/>
          <w:sz w:val="24"/>
        </w:rPr>
        <w:t>特细砂混凝土浇筑时，应在平面内均匀布料，不得用振捣棒赶料。</w:t>
      </w:r>
    </w:p>
    <w:p>
      <w:pPr>
        <w:spacing w:line="360" w:lineRule="auto"/>
        <w:rPr>
          <w:bCs/>
          <w:color w:val="auto"/>
          <w:sz w:val="24"/>
        </w:rPr>
      </w:pPr>
      <w:r>
        <w:rPr>
          <w:b/>
          <w:bCs/>
          <w:color w:val="auto"/>
          <w:sz w:val="24"/>
        </w:rPr>
        <w:t xml:space="preserve">7.3.4  </w:t>
      </w:r>
      <w:r>
        <w:rPr>
          <w:rFonts w:hint="eastAsia"/>
          <w:bCs/>
          <w:color w:val="auto"/>
          <w:sz w:val="24"/>
        </w:rPr>
        <w:t>特细砂混凝土在浇筑前，应清除模板内或垫层上的杂物，表面干燥的地基、垫层、模板上应洒水湿润；现场环境温度高于</w:t>
      </w:r>
      <w:r>
        <w:rPr>
          <w:bCs/>
          <w:color w:val="auto"/>
          <w:sz w:val="24"/>
        </w:rPr>
        <w:t>35</w:t>
      </w:r>
      <w:r>
        <w:rPr>
          <w:rFonts w:hint="eastAsia"/>
          <w:bCs/>
          <w:color w:val="auto"/>
          <w:sz w:val="24"/>
        </w:rPr>
        <w:t>℃时</w:t>
      </w:r>
      <w:r>
        <w:rPr>
          <w:rFonts w:hint="eastAsia"/>
          <w:bCs/>
          <w:color w:val="auto"/>
          <w:sz w:val="24"/>
          <w:lang w:eastAsia="zh-CN"/>
        </w:rPr>
        <w:t>应</w:t>
      </w:r>
      <w:r>
        <w:rPr>
          <w:rFonts w:hint="eastAsia"/>
          <w:bCs/>
          <w:color w:val="auto"/>
          <w:sz w:val="24"/>
        </w:rPr>
        <w:t>对金属模板进行洒水降温，洒水后不得留有积水。在浇筑过程中，应观察模板支撑的稳定性和接缝的密合状态，不得出现漏浆现象。</w:t>
      </w:r>
    </w:p>
    <w:p>
      <w:pPr>
        <w:spacing w:line="360" w:lineRule="auto"/>
        <w:rPr>
          <w:bCs/>
          <w:color w:val="auto"/>
          <w:sz w:val="24"/>
        </w:rPr>
      </w:pPr>
      <w:r>
        <w:rPr>
          <w:b/>
          <w:bCs/>
          <w:color w:val="auto"/>
          <w:sz w:val="24"/>
        </w:rPr>
        <w:t xml:space="preserve">7.3.5  </w:t>
      </w:r>
      <w:r>
        <w:rPr>
          <w:rFonts w:hint="eastAsia"/>
          <w:bCs/>
          <w:color w:val="auto"/>
          <w:sz w:val="24"/>
        </w:rPr>
        <w:t>特细砂混凝土浇筑宜连续进行，拌合物出机至施工现场接收的时间间隔不宜大于</w:t>
      </w:r>
      <w:r>
        <w:rPr>
          <w:bCs/>
          <w:color w:val="auto"/>
          <w:sz w:val="24"/>
        </w:rPr>
        <w:t>90min</w:t>
      </w:r>
      <w:r>
        <w:rPr>
          <w:rFonts w:hint="eastAsia"/>
          <w:bCs/>
          <w:color w:val="auto"/>
          <w:sz w:val="24"/>
        </w:rPr>
        <w:t>。</w:t>
      </w:r>
    </w:p>
    <w:p>
      <w:pPr>
        <w:spacing w:line="360" w:lineRule="auto"/>
        <w:rPr>
          <w:bCs/>
          <w:color w:val="auto"/>
          <w:sz w:val="24"/>
        </w:rPr>
      </w:pPr>
      <w:r>
        <w:rPr>
          <w:b/>
          <w:bCs/>
          <w:color w:val="auto"/>
          <w:sz w:val="24"/>
        </w:rPr>
        <w:t xml:space="preserve">7.3.6  </w:t>
      </w:r>
      <w:r>
        <w:rPr>
          <w:rFonts w:hint="eastAsia"/>
          <w:bCs/>
          <w:color w:val="auto"/>
          <w:sz w:val="24"/>
        </w:rPr>
        <w:t>特细砂混凝土振捣密实后，在终凝前应采用机械抹面或人工多次抹压，抹压后及时覆盖。</w:t>
      </w:r>
    </w:p>
    <w:p>
      <w:pPr>
        <w:spacing w:line="360" w:lineRule="auto"/>
        <w:rPr>
          <w:rFonts w:ascii="宋体" w:hAnsi="宋体"/>
          <w:color w:val="auto"/>
          <w:sz w:val="30"/>
          <w:szCs w:val="30"/>
        </w:rPr>
      </w:pPr>
      <w:r>
        <w:rPr>
          <w:b/>
          <w:bCs/>
          <w:color w:val="auto"/>
          <w:sz w:val="24"/>
        </w:rPr>
        <w:t xml:space="preserve">7.3.7  </w:t>
      </w:r>
      <w:r>
        <w:rPr>
          <w:rFonts w:hint="eastAsia"/>
          <w:bCs/>
          <w:color w:val="auto"/>
          <w:sz w:val="24"/>
        </w:rPr>
        <w:t>特细砂混凝土抗压强度达到</w:t>
      </w:r>
      <w:r>
        <w:rPr>
          <w:bCs/>
          <w:color w:val="auto"/>
          <w:sz w:val="24"/>
        </w:rPr>
        <w:t>1.2MPa</w:t>
      </w:r>
      <w:r>
        <w:rPr>
          <w:rFonts w:hint="eastAsia"/>
          <w:bCs/>
          <w:color w:val="auto"/>
          <w:sz w:val="24"/>
        </w:rPr>
        <w:t>前，</w:t>
      </w:r>
      <w:r>
        <w:rPr>
          <w:rFonts w:hint="eastAsia"/>
          <w:bCs/>
          <w:color w:val="auto"/>
          <w:sz w:val="24"/>
        </w:rPr>
        <w:t>不应承受行人、运输工具、模板、支架、及脚手架等荷载。</w:t>
      </w:r>
    </w:p>
    <w:p>
      <w:pPr>
        <w:spacing w:line="360" w:lineRule="auto"/>
        <w:rPr>
          <w:bCs/>
          <w:color w:val="auto"/>
          <w:sz w:val="24"/>
        </w:rPr>
      </w:pPr>
      <w:r>
        <w:rPr>
          <w:b/>
          <w:bCs/>
          <w:color w:val="auto"/>
          <w:sz w:val="24"/>
        </w:rPr>
        <w:t xml:space="preserve">7.3.8  </w:t>
      </w:r>
      <w:r>
        <w:rPr>
          <w:rFonts w:hint="eastAsia"/>
          <w:bCs/>
          <w:color w:val="auto"/>
          <w:sz w:val="24"/>
        </w:rPr>
        <w:t>特细砂混凝土侧模拆除时，混凝土抗压强度应符合设计要求；当设计无要求时，侧模强度要保证其表面与棱角不受损伤。</w:t>
      </w:r>
    </w:p>
    <w:p>
      <w:pPr>
        <w:spacing w:line="360" w:lineRule="auto"/>
        <w:rPr>
          <w:rFonts w:hint="eastAsia"/>
          <w:bCs/>
          <w:color w:val="auto"/>
          <w:sz w:val="24"/>
        </w:rPr>
      </w:pPr>
      <w:r>
        <w:rPr>
          <w:b/>
          <w:bCs/>
          <w:color w:val="auto"/>
          <w:sz w:val="24"/>
        </w:rPr>
        <w:t xml:space="preserve">7.3.9  </w:t>
      </w:r>
      <w:r>
        <w:rPr>
          <w:rFonts w:hint="eastAsia"/>
          <w:bCs/>
          <w:color w:val="auto"/>
          <w:sz w:val="24"/>
        </w:rPr>
        <w:t>特细砂混凝土底模拆除时，混凝土强度应符合设计要求；当设计无要求时，抗压强度应符合表</w:t>
      </w:r>
      <w:r>
        <w:rPr>
          <w:bCs/>
          <w:color w:val="auto"/>
          <w:sz w:val="24"/>
        </w:rPr>
        <w:t>7.3.9</w:t>
      </w:r>
      <w:r>
        <w:rPr>
          <w:rFonts w:hint="eastAsia"/>
          <w:bCs/>
          <w:color w:val="auto"/>
          <w:sz w:val="24"/>
        </w:rPr>
        <w:t>的规定。</w:t>
      </w:r>
    </w:p>
    <w:p>
      <w:pPr>
        <w:spacing w:line="360" w:lineRule="auto"/>
        <w:jc w:val="center"/>
        <w:rPr>
          <w:bCs/>
          <w:color w:val="auto"/>
          <w:sz w:val="24"/>
        </w:rPr>
      </w:pPr>
      <w:r>
        <w:rPr>
          <w:rFonts w:hint="eastAsia"/>
          <w:bCs/>
          <w:color w:val="auto"/>
          <w:sz w:val="24"/>
        </w:rPr>
        <w:t>表</w:t>
      </w:r>
      <w:r>
        <w:rPr>
          <w:bCs/>
          <w:color w:val="auto"/>
          <w:sz w:val="24"/>
        </w:rPr>
        <w:t>7.3.9</w:t>
      </w:r>
      <w:r>
        <w:rPr>
          <w:rFonts w:hint="eastAsia"/>
          <w:bCs/>
          <w:color w:val="auto"/>
          <w:sz w:val="24"/>
        </w:rPr>
        <w:t xml:space="preserve">   底模拆除时混凝土强度</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126"/>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spacing w:line="360" w:lineRule="auto"/>
              <w:rPr>
                <w:rFonts w:ascii="宋体" w:hAnsi="宋体"/>
                <w:color w:val="auto"/>
                <w:sz w:val="28"/>
                <w:szCs w:val="28"/>
              </w:rPr>
            </w:pPr>
            <w:r>
              <w:rPr>
                <w:rFonts w:hint="eastAsia"/>
                <w:bCs/>
                <w:color w:val="auto"/>
                <w:sz w:val="24"/>
              </w:rPr>
              <w:t>结构类型</w:t>
            </w:r>
          </w:p>
        </w:tc>
        <w:tc>
          <w:tcPr>
            <w:tcW w:w="2126" w:type="dxa"/>
            <w:noWrap w:val="0"/>
            <w:vAlign w:val="center"/>
          </w:tcPr>
          <w:p>
            <w:pPr>
              <w:spacing w:line="360" w:lineRule="auto"/>
              <w:rPr>
                <w:rFonts w:ascii="宋体" w:hAnsi="宋体"/>
                <w:color w:val="auto"/>
                <w:sz w:val="28"/>
                <w:szCs w:val="28"/>
              </w:rPr>
            </w:pPr>
            <w:r>
              <w:rPr>
                <w:rFonts w:hint="eastAsia"/>
                <w:bCs/>
                <w:color w:val="auto"/>
                <w:sz w:val="24"/>
              </w:rPr>
              <w:t>结构</w:t>
            </w:r>
            <w:r>
              <w:rPr>
                <w:rFonts w:hint="eastAsia"/>
                <w:bCs/>
                <w:color w:val="auto"/>
                <w:sz w:val="24"/>
              </w:rPr>
              <w:t>跨</w:t>
            </w:r>
            <w:r>
              <w:rPr>
                <w:rFonts w:hint="eastAsia"/>
                <w:bCs/>
                <w:color w:val="auto"/>
                <w:sz w:val="24"/>
              </w:rPr>
              <w:t>度（</w:t>
            </w:r>
            <w:r>
              <w:rPr>
                <w:bCs/>
                <w:color w:val="auto"/>
                <w:sz w:val="24"/>
              </w:rPr>
              <w:t>m</w:t>
            </w:r>
            <w:r>
              <w:rPr>
                <w:rFonts w:hint="eastAsia"/>
                <w:bCs/>
                <w:color w:val="auto"/>
                <w:sz w:val="24"/>
              </w:rPr>
              <w:t>）</w:t>
            </w:r>
          </w:p>
        </w:tc>
        <w:tc>
          <w:tcPr>
            <w:tcW w:w="4445" w:type="dxa"/>
            <w:noWrap w:val="0"/>
            <w:vAlign w:val="center"/>
          </w:tcPr>
          <w:p>
            <w:pPr>
              <w:spacing w:line="360" w:lineRule="auto"/>
              <w:rPr>
                <w:rFonts w:hint="eastAsia"/>
                <w:bCs/>
                <w:color w:val="auto"/>
                <w:sz w:val="24"/>
              </w:rPr>
            </w:pPr>
            <w:r>
              <w:rPr>
                <w:rFonts w:hint="eastAsia"/>
                <w:bCs/>
                <w:color w:val="auto"/>
                <w:sz w:val="24"/>
              </w:rPr>
              <w:t>达到混凝土设计强度的百分比（</w:t>
            </w:r>
            <w:r>
              <w:rPr>
                <w:bCs/>
                <w:color w:val="auto"/>
                <w:sz w:val="24"/>
              </w:rPr>
              <w:t>%</w:t>
            </w:r>
            <w:r>
              <w:rPr>
                <w:rFonts w:hint="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center"/>
          </w:tcPr>
          <w:p>
            <w:pPr>
              <w:spacing w:line="360" w:lineRule="auto"/>
              <w:jc w:val="center"/>
              <w:rPr>
                <w:rFonts w:ascii="宋体" w:hAnsi="宋体"/>
                <w:color w:val="auto"/>
                <w:sz w:val="28"/>
                <w:szCs w:val="28"/>
              </w:rPr>
            </w:pPr>
            <w:r>
              <w:rPr>
                <w:rFonts w:hint="eastAsia"/>
                <w:bCs/>
                <w:color w:val="auto"/>
                <w:sz w:val="24"/>
              </w:rPr>
              <w:t>板</w:t>
            </w:r>
          </w:p>
        </w:tc>
        <w:tc>
          <w:tcPr>
            <w:tcW w:w="2126" w:type="dxa"/>
            <w:noWrap w:val="0"/>
            <w:vAlign w:val="center"/>
          </w:tcPr>
          <w:p>
            <w:pPr>
              <w:spacing w:line="360" w:lineRule="auto"/>
              <w:jc w:val="center"/>
              <w:rPr>
                <w:rFonts w:ascii="宋体" w:hAnsi="宋体"/>
                <w:color w:val="auto"/>
                <w:sz w:val="28"/>
                <w:szCs w:val="28"/>
              </w:rPr>
            </w:pPr>
            <w:r>
              <w:rPr>
                <w:rFonts w:hint="eastAsia"/>
                <w:bCs/>
                <w:color w:val="auto"/>
                <w:sz w:val="24"/>
              </w:rPr>
              <w:t>≤</w:t>
            </w:r>
            <w:r>
              <w:rPr>
                <w:bCs/>
                <w:color w:val="auto"/>
                <w:sz w:val="24"/>
              </w:rPr>
              <w:t>2</w:t>
            </w:r>
          </w:p>
        </w:tc>
        <w:tc>
          <w:tcPr>
            <w:tcW w:w="4445" w:type="dxa"/>
            <w:noWrap w:val="0"/>
            <w:vAlign w:val="center"/>
          </w:tcPr>
          <w:p>
            <w:pPr>
              <w:spacing w:line="360" w:lineRule="auto"/>
              <w:jc w:val="center"/>
              <w:rPr>
                <w:rFonts w:ascii="宋体" w:hAnsi="宋体"/>
                <w:color w:val="auto"/>
                <w:sz w:val="28"/>
                <w:szCs w:val="28"/>
              </w:rPr>
            </w:pPr>
            <w:r>
              <w:rPr>
                <w:rFonts w:hint="eastAsia"/>
                <w:bCs/>
                <w:color w:val="auto"/>
                <w:sz w:val="24"/>
              </w:rPr>
              <w:t>≥</w:t>
            </w:r>
            <w:r>
              <w:rPr>
                <w:bCs/>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pPr>
              <w:spacing w:line="360" w:lineRule="auto"/>
              <w:jc w:val="center"/>
              <w:rPr>
                <w:rFonts w:ascii="宋体" w:hAnsi="宋体"/>
                <w:color w:val="auto"/>
                <w:sz w:val="28"/>
                <w:szCs w:val="28"/>
              </w:rPr>
            </w:pPr>
          </w:p>
        </w:tc>
        <w:tc>
          <w:tcPr>
            <w:tcW w:w="2126" w:type="dxa"/>
            <w:noWrap w:val="0"/>
            <w:vAlign w:val="center"/>
          </w:tcPr>
          <w:p>
            <w:pPr>
              <w:spacing w:line="360" w:lineRule="auto"/>
              <w:jc w:val="center"/>
              <w:rPr>
                <w:rFonts w:ascii="宋体" w:hAnsi="宋体"/>
                <w:color w:val="auto"/>
                <w:sz w:val="28"/>
                <w:szCs w:val="28"/>
              </w:rPr>
            </w:pPr>
            <w:r>
              <w:rPr>
                <w:rFonts w:hint="eastAsia"/>
                <w:bCs/>
                <w:color w:val="auto"/>
                <w:sz w:val="24"/>
              </w:rPr>
              <w:t>＞</w:t>
            </w:r>
            <w:r>
              <w:rPr>
                <w:bCs/>
                <w:color w:val="auto"/>
                <w:sz w:val="24"/>
              </w:rPr>
              <w:t>2</w:t>
            </w:r>
            <w:r>
              <w:rPr>
                <w:rFonts w:hint="eastAsia"/>
                <w:bCs/>
                <w:color w:val="auto"/>
                <w:sz w:val="24"/>
              </w:rPr>
              <w:t>，≤</w:t>
            </w:r>
            <w:r>
              <w:rPr>
                <w:bCs/>
                <w:color w:val="auto"/>
                <w:sz w:val="24"/>
              </w:rPr>
              <w:t>8</w:t>
            </w:r>
          </w:p>
        </w:tc>
        <w:tc>
          <w:tcPr>
            <w:tcW w:w="4445" w:type="dxa"/>
            <w:noWrap w:val="0"/>
            <w:vAlign w:val="top"/>
          </w:tcPr>
          <w:p>
            <w:pPr>
              <w:spacing w:line="360" w:lineRule="auto"/>
              <w:jc w:val="center"/>
              <w:rPr>
                <w:color w:val="auto"/>
              </w:rPr>
            </w:pPr>
            <w:r>
              <w:rPr>
                <w:rFonts w:hint="eastAsia"/>
                <w:bCs/>
                <w:color w:val="auto"/>
                <w:sz w:val="24"/>
              </w:rPr>
              <w:t>≥</w:t>
            </w:r>
            <w:r>
              <w:rPr>
                <w:bCs/>
                <w:color w:val="auto"/>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pPr>
              <w:spacing w:line="360" w:lineRule="auto"/>
              <w:jc w:val="center"/>
              <w:rPr>
                <w:rFonts w:ascii="宋体" w:hAnsi="宋体"/>
                <w:color w:val="auto"/>
                <w:sz w:val="28"/>
                <w:szCs w:val="28"/>
              </w:rPr>
            </w:pPr>
          </w:p>
        </w:tc>
        <w:tc>
          <w:tcPr>
            <w:tcW w:w="2126" w:type="dxa"/>
            <w:noWrap w:val="0"/>
            <w:vAlign w:val="center"/>
          </w:tcPr>
          <w:p>
            <w:pPr>
              <w:spacing w:line="360" w:lineRule="auto"/>
              <w:jc w:val="center"/>
              <w:rPr>
                <w:rFonts w:ascii="宋体" w:hAnsi="宋体"/>
                <w:color w:val="auto"/>
                <w:sz w:val="28"/>
                <w:szCs w:val="28"/>
              </w:rPr>
            </w:pPr>
            <w:r>
              <w:rPr>
                <w:rFonts w:hint="eastAsia"/>
                <w:bCs/>
                <w:color w:val="auto"/>
                <w:sz w:val="24"/>
              </w:rPr>
              <w:t>＞</w:t>
            </w:r>
            <w:r>
              <w:rPr>
                <w:bCs/>
                <w:color w:val="auto"/>
                <w:sz w:val="24"/>
              </w:rPr>
              <w:t>8</w:t>
            </w:r>
          </w:p>
        </w:tc>
        <w:tc>
          <w:tcPr>
            <w:tcW w:w="4445" w:type="dxa"/>
            <w:noWrap w:val="0"/>
            <w:vAlign w:val="top"/>
          </w:tcPr>
          <w:p>
            <w:pPr>
              <w:spacing w:line="360" w:lineRule="auto"/>
              <w:jc w:val="center"/>
              <w:rPr>
                <w:color w:val="auto"/>
              </w:rPr>
            </w:pPr>
            <w:r>
              <w:rPr>
                <w:rFonts w:hint="eastAsia"/>
                <w:bCs/>
                <w:color w:val="auto"/>
                <w:sz w:val="24"/>
              </w:rPr>
              <w:t>≥</w:t>
            </w:r>
            <w:r>
              <w:rPr>
                <w:bCs/>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center"/>
          </w:tcPr>
          <w:p>
            <w:pPr>
              <w:spacing w:line="360" w:lineRule="auto"/>
              <w:jc w:val="center"/>
              <w:rPr>
                <w:rFonts w:ascii="宋体" w:hAnsi="宋体"/>
                <w:color w:val="auto"/>
                <w:sz w:val="28"/>
                <w:szCs w:val="28"/>
              </w:rPr>
            </w:pPr>
            <w:r>
              <w:rPr>
                <w:rFonts w:hint="eastAsia"/>
                <w:bCs/>
                <w:color w:val="auto"/>
                <w:sz w:val="24"/>
              </w:rPr>
              <w:t>梁、拱、壳</w:t>
            </w:r>
          </w:p>
        </w:tc>
        <w:tc>
          <w:tcPr>
            <w:tcW w:w="2126" w:type="dxa"/>
            <w:noWrap w:val="0"/>
            <w:vAlign w:val="center"/>
          </w:tcPr>
          <w:p>
            <w:pPr>
              <w:spacing w:line="360" w:lineRule="auto"/>
              <w:jc w:val="center"/>
              <w:rPr>
                <w:rFonts w:ascii="宋体" w:hAnsi="宋体"/>
                <w:color w:val="auto"/>
                <w:sz w:val="28"/>
                <w:szCs w:val="28"/>
              </w:rPr>
            </w:pPr>
            <w:r>
              <w:rPr>
                <w:rFonts w:hint="eastAsia"/>
                <w:bCs/>
                <w:color w:val="auto"/>
                <w:sz w:val="24"/>
              </w:rPr>
              <w:t>≤</w:t>
            </w:r>
            <w:r>
              <w:rPr>
                <w:bCs/>
                <w:color w:val="auto"/>
                <w:sz w:val="24"/>
              </w:rPr>
              <w:t>8</w:t>
            </w:r>
          </w:p>
        </w:tc>
        <w:tc>
          <w:tcPr>
            <w:tcW w:w="4445" w:type="dxa"/>
            <w:noWrap w:val="0"/>
            <w:vAlign w:val="top"/>
          </w:tcPr>
          <w:p>
            <w:pPr>
              <w:spacing w:line="360" w:lineRule="auto"/>
              <w:jc w:val="center"/>
              <w:rPr>
                <w:color w:val="auto"/>
              </w:rPr>
            </w:pPr>
            <w:r>
              <w:rPr>
                <w:rFonts w:hint="eastAsia"/>
                <w:bCs/>
                <w:color w:val="auto"/>
                <w:sz w:val="24"/>
              </w:rPr>
              <w:t>≥</w:t>
            </w:r>
            <w:r>
              <w:rPr>
                <w:bCs/>
                <w:color w:val="auto"/>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pPr>
              <w:spacing w:line="360" w:lineRule="auto"/>
              <w:jc w:val="center"/>
              <w:rPr>
                <w:rFonts w:ascii="宋体" w:hAnsi="宋体"/>
                <w:color w:val="auto"/>
                <w:sz w:val="28"/>
                <w:szCs w:val="28"/>
              </w:rPr>
            </w:pPr>
          </w:p>
        </w:tc>
        <w:tc>
          <w:tcPr>
            <w:tcW w:w="2126" w:type="dxa"/>
            <w:noWrap w:val="0"/>
            <w:vAlign w:val="center"/>
          </w:tcPr>
          <w:p>
            <w:pPr>
              <w:spacing w:line="360" w:lineRule="auto"/>
              <w:jc w:val="center"/>
              <w:rPr>
                <w:rFonts w:ascii="宋体" w:hAnsi="宋体"/>
                <w:color w:val="auto"/>
                <w:sz w:val="28"/>
                <w:szCs w:val="28"/>
              </w:rPr>
            </w:pPr>
            <w:r>
              <w:rPr>
                <w:rFonts w:hint="eastAsia"/>
                <w:bCs/>
                <w:color w:val="auto"/>
                <w:sz w:val="24"/>
              </w:rPr>
              <w:t>＞</w:t>
            </w:r>
            <w:r>
              <w:rPr>
                <w:bCs/>
                <w:color w:val="auto"/>
                <w:sz w:val="24"/>
              </w:rPr>
              <w:t>8</w:t>
            </w:r>
          </w:p>
        </w:tc>
        <w:tc>
          <w:tcPr>
            <w:tcW w:w="4445" w:type="dxa"/>
            <w:noWrap w:val="0"/>
            <w:vAlign w:val="top"/>
          </w:tcPr>
          <w:p>
            <w:pPr>
              <w:spacing w:line="360" w:lineRule="auto"/>
              <w:jc w:val="center"/>
              <w:rPr>
                <w:color w:val="auto"/>
              </w:rPr>
            </w:pPr>
            <w:r>
              <w:rPr>
                <w:rFonts w:hint="eastAsia"/>
                <w:bCs/>
                <w:color w:val="auto"/>
                <w:sz w:val="24"/>
              </w:rPr>
              <w:t>≥</w:t>
            </w:r>
            <w:r>
              <w:rPr>
                <w:bCs/>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spacing w:line="360" w:lineRule="auto"/>
              <w:jc w:val="center"/>
              <w:rPr>
                <w:rFonts w:ascii="宋体" w:hAnsi="宋体"/>
                <w:color w:val="auto"/>
                <w:sz w:val="28"/>
                <w:szCs w:val="28"/>
              </w:rPr>
            </w:pPr>
            <w:r>
              <w:rPr>
                <w:rFonts w:hint="eastAsia"/>
                <w:bCs/>
                <w:color w:val="auto"/>
                <w:sz w:val="24"/>
              </w:rPr>
              <w:t>悬臂构件</w:t>
            </w:r>
          </w:p>
        </w:tc>
        <w:tc>
          <w:tcPr>
            <w:tcW w:w="2126" w:type="dxa"/>
            <w:noWrap w:val="0"/>
            <w:vAlign w:val="center"/>
          </w:tcPr>
          <w:p>
            <w:pPr>
              <w:spacing w:line="360" w:lineRule="auto"/>
              <w:jc w:val="center"/>
              <w:rPr>
                <w:rFonts w:ascii="宋体" w:hAnsi="宋体"/>
                <w:color w:val="auto"/>
                <w:sz w:val="28"/>
                <w:szCs w:val="28"/>
              </w:rPr>
            </w:pPr>
            <w:r>
              <w:rPr>
                <w:bCs/>
                <w:color w:val="auto"/>
                <w:sz w:val="24"/>
              </w:rPr>
              <w:t>-</w:t>
            </w:r>
          </w:p>
        </w:tc>
        <w:tc>
          <w:tcPr>
            <w:tcW w:w="4445" w:type="dxa"/>
            <w:noWrap w:val="0"/>
            <w:vAlign w:val="top"/>
          </w:tcPr>
          <w:p>
            <w:pPr>
              <w:spacing w:line="360" w:lineRule="auto"/>
              <w:jc w:val="center"/>
              <w:rPr>
                <w:color w:val="auto"/>
              </w:rPr>
            </w:pPr>
            <w:r>
              <w:rPr>
                <w:rFonts w:hint="eastAsia"/>
                <w:bCs/>
                <w:color w:val="auto"/>
                <w:sz w:val="24"/>
              </w:rPr>
              <w:t>≥</w:t>
            </w:r>
            <w:r>
              <w:rPr>
                <w:bCs/>
                <w:color w:val="auto"/>
                <w:sz w:val="24"/>
              </w:rPr>
              <w:t>100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bCs/>
          <w:color w:val="auto"/>
          <w:sz w:val="24"/>
        </w:rPr>
      </w:pPr>
      <w:r>
        <w:rPr>
          <w:b/>
          <w:bCs/>
          <w:color w:val="auto"/>
          <w:sz w:val="24"/>
        </w:rPr>
        <w:t xml:space="preserve">7.3.10  </w:t>
      </w:r>
      <w:r>
        <w:rPr>
          <w:rFonts w:hint="eastAsia"/>
          <w:bCs/>
          <w:color w:val="auto"/>
          <w:sz w:val="24"/>
        </w:rPr>
        <w:t>当遇大风或气温急剧变化时，不</w:t>
      </w:r>
      <w:r>
        <w:rPr>
          <w:rFonts w:hint="eastAsia"/>
          <w:bCs/>
          <w:color w:val="auto"/>
          <w:sz w:val="24"/>
          <w:lang w:eastAsia="zh-CN"/>
        </w:rPr>
        <w:t>应</w:t>
      </w:r>
      <w:r>
        <w:rPr>
          <w:rFonts w:hint="eastAsia"/>
          <w:bCs/>
          <w:color w:val="auto"/>
          <w:sz w:val="24"/>
        </w:rPr>
        <w:t>拆模。</w:t>
      </w:r>
    </w:p>
    <w:p>
      <w:pPr>
        <w:spacing w:line="360" w:lineRule="auto"/>
        <w:rPr>
          <w:bCs/>
          <w:color w:val="auto"/>
          <w:sz w:val="24"/>
        </w:rPr>
      </w:pPr>
      <w:r>
        <w:rPr>
          <w:b/>
          <w:bCs/>
          <w:color w:val="auto"/>
          <w:sz w:val="24"/>
        </w:rPr>
        <w:t xml:space="preserve">7.3.11  </w:t>
      </w:r>
      <w:r>
        <w:rPr>
          <w:rFonts w:hint="eastAsia"/>
          <w:bCs/>
          <w:color w:val="auto"/>
          <w:sz w:val="24"/>
        </w:rPr>
        <w:t>特细砂混凝土养护时间应符合下列规定：</w:t>
      </w:r>
    </w:p>
    <w:p>
      <w:pPr>
        <w:spacing w:line="360" w:lineRule="auto"/>
        <w:ind w:firstLine="480" w:firstLineChars="200"/>
        <w:rPr>
          <w:bCs/>
          <w:color w:val="auto"/>
          <w:sz w:val="24"/>
        </w:rPr>
      </w:pPr>
      <w:r>
        <w:rPr>
          <w:bCs/>
          <w:color w:val="auto"/>
          <w:sz w:val="24"/>
        </w:rPr>
        <w:t>1</w:t>
      </w:r>
      <w:r>
        <w:rPr>
          <w:rFonts w:hint="eastAsia"/>
          <w:bCs/>
          <w:color w:val="auto"/>
          <w:sz w:val="24"/>
        </w:rPr>
        <w:t>、 对于采用硅酸盐水泥、普通硅酸盐水泥或矿渣硅酸盐水泥配置的混凝土，采用洒水和潮湿覆盖的养护时间不得少于</w:t>
      </w:r>
      <w:r>
        <w:rPr>
          <w:bCs/>
          <w:color w:val="auto"/>
          <w:sz w:val="24"/>
        </w:rPr>
        <w:t>7d</w:t>
      </w:r>
      <w:r>
        <w:rPr>
          <w:rFonts w:hint="eastAsia"/>
          <w:bCs/>
          <w:color w:val="auto"/>
          <w:sz w:val="24"/>
        </w:rPr>
        <w:t>。</w:t>
      </w:r>
    </w:p>
    <w:p>
      <w:pPr>
        <w:spacing w:line="360" w:lineRule="auto"/>
        <w:ind w:firstLine="480" w:firstLineChars="200"/>
        <w:rPr>
          <w:bCs/>
          <w:color w:val="auto"/>
          <w:sz w:val="24"/>
        </w:rPr>
      </w:pPr>
      <w:r>
        <w:rPr>
          <w:bCs/>
          <w:color w:val="auto"/>
          <w:sz w:val="24"/>
        </w:rPr>
        <w:t>2</w:t>
      </w:r>
      <w:r>
        <w:rPr>
          <w:rFonts w:hint="eastAsia"/>
          <w:bCs/>
          <w:color w:val="auto"/>
          <w:sz w:val="24"/>
        </w:rPr>
        <w:t>、对于采用粉煤灰硅酸盐水泥、火山灰硅酸盐水泥或复合硅酸盐水泥配制的混凝土，或掺加缓凝剂的混凝土，以及大掺量矿物掺合料的混凝土，采用洒水和潮湿覆盖的养护时间不得少于</w:t>
      </w:r>
      <w:r>
        <w:rPr>
          <w:bCs/>
          <w:color w:val="auto"/>
          <w:sz w:val="24"/>
        </w:rPr>
        <w:t>14d</w:t>
      </w:r>
      <w:r>
        <w:rPr>
          <w:rFonts w:hint="eastAsia"/>
          <w:bCs/>
          <w:color w:val="auto"/>
          <w:sz w:val="24"/>
        </w:rPr>
        <w:t>。</w:t>
      </w:r>
    </w:p>
    <w:p>
      <w:pPr>
        <w:spacing w:line="360" w:lineRule="auto"/>
        <w:ind w:firstLine="480" w:firstLineChars="200"/>
        <w:rPr>
          <w:bCs/>
          <w:color w:val="auto"/>
          <w:sz w:val="24"/>
        </w:rPr>
      </w:pPr>
      <w:r>
        <w:rPr>
          <w:bCs/>
          <w:color w:val="auto"/>
          <w:sz w:val="24"/>
        </w:rPr>
        <w:t>3</w:t>
      </w:r>
      <w:r>
        <w:rPr>
          <w:rFonts w:hint="eastAsia"/>
          <w:bCs/>
          <w:color w:val="auto"/>
          <w:sz w:val="24"/>
        </w:rPr>
        <w:t>、</w:t>
      </w:r>
      <w:r>
        <w:rPr>
          <w:bCs/>
          <w:color w:val="auto"/>
          <w:sz w:val="24"/>
        </w:rPr>
        <w:t xml:space="preserve"> </w:t>
      </w:r>
      <w:r>
        <w:rPr>
          <w:rFonts w:hint="eastAsia"/>
          <w:bCs/>
          <w:color w:val="auto"/>
          <w:sz w:val="24"/>
        </w:rPr>
        <w:t>对于竖向混凝土结构，带模养护时间宜适当延长。</w:t>
      </w:r>
    </w:p>
    <w:p>
      <w:pPr>
        <w:spacing w:line="360" w:lineRule="auto"/>
        <w:rPr>
          <w:bCs/>
          <w:color w:val="auto"/>
          <w:sz w:val="24"/>
        </w:rPr>
      </w:pPr>
      <w:r>
        <w:rPr>
          <w:b/>
          <w:bCs/>
          <w:color w:val="auto"/>
          <w:sz w:val="24"/>
        </w:rPr>
        <w:t xml:space="preserve">7.3.12   </w:t>
      </w:r>
      <w:r>
        <w:rPr>
          <w:rFonts w:hint="eastAsia"/>
          <w:bCs/>
          <w:color w:val="auto"/>
          <w:sz w:val="24"/>
        </w:rPr>
        <w:t>特细砂混凝土构件或制品的养护应符合下列规定：</w:t>
      </w:r>
    </w:p>
    <w:p>
      <w:pPr>
        <w:spacing w:line="360" w:lineRule="auto"/>
        <w:ind w:firstLine="480" w:firstLineChars="200"/>
        <w:rPr>
          <w:bCs/>
          <w:color w:val="auto"/>
          <w:sz w:val="24"/>
        </w:rPr>
      </w:pPr>
      <w:r>
        <w:rPr>
          <w:bCs/>
          <w:color w:val="auto"/>
          <w:sz w:val="24"/>
        </w:rPr>
        <w:t>1</w:t>
      </w:r>
      <w:r>
        <w:rPr>
          <w:rFonts w:hint="eastAsia"/>
          <w:bCs/>
          <w:color w:val="auto"/>
          <w:sz w:val="24"/>
        </w:rPr>
        <w:t>、 采用蒸汽养护或湿热养护时，养护时间和养护制度应满足混凝土及其制品性能的要求。</w:t>
      </w:r>
    </w:p>
    <w:p>
      <w:pPr>
        <w:spacing w:line="360" w:lineRule="auto"/>
        <w:ind w:firstLine="480" w:firstLineChars="200"/>
        <w:rPr>
          <w:bCs/>
          <w:color w:val="auto"/>
          <w:sz w:val="24"/>
        </w:rPr>
      </w:pPr>
      <w:r>
        <w:rPr>
          <w:bCs/>
          <w:color w:val="auto"/>
          <w:sz w:val="24"/>
        </w:rPr>
        <w:t>2</w:t>
      </w:r>
      <w:r>
        <w:rPr>
          <w:rFonts w:hint="eastAsia"/>
          <w:bCs/>
          <w:color w:val="auto"/>
          <w:sz w:val="24"/>
        </w:rPr>
        <w:t>、 采用蒸汽养护时，应分为静停、升温、恒温和降温四个阶段。混凝土成型后的静停时间不宜少于</w:t>
      </w:r>
      <w:r>
        <w:rPr>
          <w:bCs/>
          <w:color w:val="auto"/>
          <w:sz w:val="24"/>
        </w:rPr>
        <w:t>2h</w:t>
      </w:r>
      <w:r>
        <w:rPr>
          <w:rFonts w:hint="eastAsia"/>
          <w:bCs/>
          <w:color w:val="auto"/>
          <w:sz w:val="24"/>
        </w:rPr>
        <w:t>，升温速度不宜超过</w:t>
      </w:r>
      <w:r>
        <w:rPr>
          <w:bCs/>
          <w:color w:val="auto"/>
          <w:sz w:val="24"/>
        </w:rPr>
        <w:t>25</w:t>
      </w:r>
      <w:r>
        <w:rPr>
          <w:rFonts w:hint="eastAsia"/>
          <w:bCs/>
          <w:color w:val="auto"/>
          <w:sz w:val="24"/>
        </w:rPr>
        <w:t>℃</w:t>
      </w:r>
      <w:r>
        <w:rPr>
          <w:bCs/>
          <w:color w:val="auto"/>
          <w:sz w:val="24"/>
        </w:rPr>
        <w:t>/h</w:t>
      </w:r>
      <w:r>
        <w:rPr>
          <w:rFonts w:hint="eastAsia"/>
          <w:bCs/>
          <w:color w:val="auto"/>
          <w:sz w:val="24"/>
        </w:rPr>
        <w:t>，降温速度不宜超过</w:t>
      </w:r>
      <w:r>
        <w:rPr>
          <w:bCs/>
          <w:color w:val="auto"/>
          <w:sz w:val="24"/>
        </w:rPr>
        <w:t>20</w:t>
      </w:r>
      <w:r>
        <w:rPr>
          <w:rFonts w:hint="eastAsia"/>
          <w:bCs/>
          <w:color w:val="auto"/>
          <w:sz w:val="24"/>
        </w:rPr>
        <w:t>℃</w:t>
      </w:r>
      <w:r>
        <w:rPr>
          <w:bCs/>
          <w:color w:val="auto"/>
          <w:sz w:val="24"/>
        </w:rPr>
        <w:t>/h</w:t>
      </w:r>
      <w:r>
        <w:rPr>
          <w:rFonts w:hint="eastAsia"/>
          <w:bCs/>
          <w:color w:val="auto"/>
          <w:sz w:val="24"/>
        </w:rPr>
        <w:t>，最高温度和恒温温度均不宜超过</w:t>
      </w:r>
      <w:r>
        <w:rPr>
          <w:bCs/>
          <w:color w:val="auto"/>
          <w:sz w:val="24"/>
        </w:rPr>
        <w:t>65</w:t>
      </w:r>
      <w:r>
        <w:rPr>
          <w:rFonts w:hint="eastAsia"/>
          <w:bCs/>
          <w:color w:val="auto"/>
          <w:sz w:val="24"/>
        </w:rPr>
        <w:t>℃；混凝土构件或制品在出池或撤除养护措施前，应测量构件表面温度，当表面温度与外界温差不大于</w:t>
      </w:r>
      <w:r>
        <w:rPr>
          <w:bCs/>
          <w:color w:val="auto"/>
          <w:sz w:val="24"/>
        </w:rPr>
        <w:t>20</w:t>
      </w:r>
      <w:r>
        <w:rPr>
          <w:rFonts w:hint="eastAsia"/>
          <w:bCs/>
          <w:color w:val="auto"/>
          <w:sz w:val="24"/>
        </w:rPr>
        <w:t>℃时，方可使构件或制品出池或撤除养护措施；</w:t>
      </w:r>
    </w:p>
    <w:p>
      <w:pPr>
        <w:spacing w:line="360" w:lineRule="auto"/>
        <w:ind w:firstLine="480" w:firstLineChars="200"/>
        <w:rPr>
          <w:bCs/>
          <w:color w:val="auto"/>
          <w:sz w:val="24"/>
        </w:rPr>
      </w:pPr>
      <w:r>
        <w:rPr>
          <w:bCs/>
          <w:color w:val="auto"/>
          <w:sz w:val="24"/>
        </w:rPr>
        <w:t>3</w:t>
      </w:r>
      <w:r>
        <w:rPr>
          <w:rFonts w:hint="eastAsia"/>
          <w:bCs/>
          <w:color w:val="auto"/>
          <w:sz w:val="24"/>
        </w:rPr>
        <w:t>、</w:t>
      </w:r>
      <w:r>
        <w:rPr>
          <w:bCs/>
          <w:color w:val="auto"/>
          <w:sz w:val="24"/>
        </w:rPr>
        <w:t xml:space="preserve"> </w:t>
      </w:r>
      <w:r>
        <w:rPr>
          <w:rFonts w:hint="eastAsia"/>
          <w:bCs/>
          <w:color w:val="auto"/>
          <w:sz w:val="24"/>
        </w:rPr>
        <w:t>采取潮湿自然养护时，应符合本标准</w:t>
      </w:r>
      <w:r>
        <w:rPr>
          <w:bCs/>
          <w:color w:val="auto"/>
          <w:sz w:val="24"/>
        </w:rPr>
        <w:t>7.3.11</w:t>
      </w:r>
      <w:r>
        <w:rPr>
          <w:rFonts w:hint="eastAsia"/>
          <w:bCs/>
          <w:color w:val="auto"/>
          <w:sz w:val="24"/>
        </w:rPr>
        <w:t>条的规定。</w:t>
      </w:r>
    </w:p>
    <w:p>
      <w:pPr>
        <w:spacing w:line="360" w:lineRule="auto"/>
        <w:rPr>
          <w:rFonts w:hint="eastAsia"/>
          <w:bCs/>
          <w:color w:val="auto"/>
          <w:sz w:val="24"/>
        </w:rPr>
      </w:pPr>
      <w:r>
        <w:rPr>
          <w:b/>
          <w:bCs/>
          <w:color w:val="auto"/>
          <w:sz w:val="24"/>
        </w:rPr>
        <w:t>7.3.13</w:t>
      </w:r>
      <w:r>
        <w:rPr>
          <w:b/>
          <w:bCs/>
          <w:color w:val="auto"/>
          <w:sz w:val="24"/>
        </w:rPr>
        <w:t xml:space="preserve">  </w:t>
      </w:r>
      <w:r>
        <w:rPr>
          <w:rFonts w:hint="eastAsia"/>
          <w:bCs/>
          <w:color w:val="auto"/>
          <w:sz w:val="24"/>
        </w:rPr>
        <w:t>特细砂混凝土冬季施工时，日均气温低于</w:t>
      </w:r>
      <w:r>
        <w:rPr>
          <w:bCs/>
          <w:color w:val="auto"/>
          <w:sz w:val="24"/>
        </w:rPr>
        <w:t>5</w:t>
      </w:r>
      <w:r>
        <w:rPr>
          <w:rFonts w:hint="eastAsia"/>
          <w:bCs/>
          <w:color w:val="auto"/>
          <w:sz w:val="24"/>
        </w:rPr>
        <w:t>℃时，不得采用洒水自然养护方法；当混凝土强度达到设计强度等级的</w:t>
      </w:r>
      <w:r>
        <w:rPr>
          <w:bCs/>
          <w:color w:val="auto"/>
          <w:sz w:val="24"/>
        </w:rPr>
        <w:t>50%</w:t>
      </w:r>
      <w:r>
        <w:rPr>
          <w:rFonts w:hint="eastAsia"/>
          <w:bCs/>
          <w:color w:val="auto"/>
          <w:sz w:val="24"/>
        </w:rPr>
        <w:t>时，方可撤除养护措施。</w:t>
      </w:r>
    </w:p>
    <w:bookmarkEnd w:id="71"/>
    <w:bookmarkEnd w:id="72"/>
    <w:bookmarkEnd w:id="73"/>
    <w:bookmarkEnd w:id="74"/>
    <w:bookmarkEnd w:id="75"/>
    <w:bookmarkEnd w:id="76"/>
    <w:p>
      <w:pPr>
        <w:pStyle w:val="2"/>
        <w:keepNext/>
        <w:keepLines/>
        <w:pageBreakBefore w:val="0"/>
        <w:widowControl w:val="0"/>
        <w:kinsoku/>
        <w:wordWrap/>
        <w:overflowPunct/>
        <w:topLinePunct w:val="0"/>
        <w:autoSpaceDE/>
        <w:autoSpaceDN/>
        <w:bidi w:val="0"/>
        <w:adjustRightInd/>
        <w:snapToGrid/>
        <w:textAlignment w:val="auto"/>
        <w:rPr>
          <w:color w:val="auto"/>
        </w:rPr>
      </w:pPr>
      <w:bookmarkStart w:id="91" w:name="_Toc9535"/>
      <w:bookmarkStart w:id="92" w:name="_Toc19684"/>
      <w:r>
        <w:rPr>
          <w:rFonts w:hint="eastAsia"/>
          <w:color w:val="auto"/>
        </w:rPr>
        <w:t>8</w:t>
      </w:r>
      <w:r>
        <w:rPr>
          <w:color w:val="auto"/>
        </w:rPr>
        <w:t xml:space="preserve">  </w:t>
      </w:r>
      <w:r>
        <w:rPr>
          <w:rFonts w:hint="eastAsia"/>
          <w:color w:val="auto"/>
        </w:rPr>
        <w:t>质量检验与验收</w:t>
      </w:r>
      <w:bookmarkEnd w:id="91"/>
      <w:bookmarkEnd w:id="92"/>
    </w:p>
    <w:p>
      <w:pPr>
        <w:pStyle w:val="3"/>
        <w:keepNext/>
        <w:keepLines/>
        <w:pageBreakBefore w:val="0"/>
        <w:widowControl w:val="0"/>
        <w:kinsoku/>
        <w:wordWrap/>
        <w:overflowPunct/>
        <w:topLinePunct w:val="0"/>
        <w:autoSpaceDE/>
        <w:autoSpaceDN/>
        <w:bidi w:val="0"/>
        <w:adjustRightInd/>
        <w:snapToGrid/>
        <w:spacing w:line="416" w:lineRule="auto"/>
        <w:textAlignment w:val="auto"/>
        <w:rPr>
          <w:color w:val="auto"/>
        </w:rPr>
      </w:pPr>
      <w:bookmarkStart w:id="93" w:name="_Toc16617"/>
      <w:bookmarkStart w:id="94" w:name="_Toc27000"/>
      <w:r>
        <w:rPr>
          <w:rFonts w:hint="eastAsia"/>
          <w:color w:val="auto"/>
        </w:rPr>
        <w:t>8</w:t>
      </w:r>
      <w:r>
        <w:rPr>
          <w:color w:val="auto"/>
        </w:rPr>
        <w:t xml:space="preserve">.1  </w:t>
      </w:r>
      <w:r>
        <w:rPr>
          <w:rFonts w:hint="eastAsia"/>
          <w:color w:val="auto"/>
        </w:rPr>
        <w:t>原材料质量检验</w:t>
      </w:r>
      <w:bookmarkEnd w:id="93"/>
      <w:bookmarkEnd w:id="94"/>
    </w:p>
    <w:p>
      <w:pPr>
        <w:spacing w:line="360" w:lineRule="auto"/>
        <w:jc w:val="left"/>
        <w:rPr>
          <w:rFonts w:hint="eastAsia"/>
          <w:color w:val="auto"/>
          <w:sz w:val="24"/>
        </w:rPr>
      </w:pPr>
      <w:r>
        <w:rPr>
          <w:rFonts w:hint="eastAsia"/>
          <w:b/>
          <w:color w:val="auto"/>
          <w:sz w:val="24"/>
        </w:rPr>
        <w:t>8.1.1</w:t>
      </w:r>
      <w:r>
        <w:rPr>
          <w:rFonts w:hint="eastAsia"/>
          <w:color w:val="auto"/>
          <w:sz w:val="24"/>
        </w:rPr>
        <w:t xml:space="preserve">  特细砂的检验项目应包括细度模数、含泥量、泥块含量、氯离子含量，试验方法应符合《普通混凝土用砂、石质量及检验方法标准》</w:t>
      </w:r>
      <w:r>
        <w:rPr>
          <w:color w:val="auto"/>
          <w:sz w:val="24"/>
        </w:rPr>
        <w:t>JGJ52</w:t>
      </w:r>
      <w:r>
        <w:rPr>
          <w:rFonts w:hint="eastAsia"/>
          <w:color w:val="auto"/>
          <w:sz w:val="24"/>
        </w:rPr>
        <w:t>的规定。</w:t>
      </w:r>
    </w:p>
    <w:p>
      <w:pPr>
        <w:spacing w:line="360" w:lineRule="auto"/>
        <w:jc w:val="left"/>
        <w:rPr>
          <w:rFonts w:hint="eastAsia"/>
          <w:color w:val="auto"/>
          <w:sz w:val="24"/>
        </w:rPr>
      </w:pPr>
      <w:r>
        <w:rPr>
          <w:rFonts w:hint="eastAsia"/>
          <w:b/>
          <w:color w:val="auto"/>
          <w:sz w:val="24"/>
        </w:rPr>
        <w:t xml:space="preserve">8.1.2 </w:t>
      </w:r>
      <w:r>
        <w:rPr>
          <w:rFonts w:hint="eastAsia"/>
          <w:color w:val="auto"/>
          <w:sz w:val="24"/>
        </w:rPr>
        <w:t xml:space="preserve"> 其他原材料的检验规则按照现行国家标准《混凝土质量控制标准》GB 50164和《混凝土结构工程施工质量验收规范》GB 50204等有关标准的规定执行。</w:t>
      </w:r>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olor w:val="auto"/>
        </w:rPr>
      </w:pPr>
      <w:bookmarkStart w:id="95" w:name="_Toc1687"/>
      <w:bookmarkStart w:id="96" w:name="_Toc27876"/>
      <w:r>
        <w:rPr>
          <w:rFonts w:hint="eastAsia"/>
          <w:color w:val="auto"/>
        </w:rPr>
        <w:t>8.2  拌合物性能检验</w:t>
      </w:r>
      <w:bookmarkEnd w:id="95"/>
      <w:bookmarkEnd w:id="96"/>
    </w:p>
    <w:p>
      <w:pPr>
        <w:spacing w:line="500" w:lineRule="exact"/>
        <w:rPr>
          <w:rFonts w:hint="eastAsia"/>
          <w:b w:val="0"/>
          <w:bCs/>
          <w:color w:val="auto"/>
          <w:sz w:val="24"/>
        </w:rPr>
      </w:pPr>
      <w:r>
        <w:rPr>
          <w:rFonts w:hint="eastAsia"/>
          <w:b/>
          <w:color w:val="auto"/>
          <w:sz w:val="24"/>
        </w:rPr>
        <w:t>8.2.1</w:t>
      </w:r>
      <w:r>
        <w:rPr>
          <w:rFonts w:hint="eastAsia"/>
          <w:color w:val="auto"/>
          <w:sz w:val="24"/>
        </w:rPr>
        <w:t xml:space="preserve">  供方应在混凝土搅拌完成后对混凝土拌合物进行出厂抽样检验，需方应在浇筑地点对混凝土拌合物进行交货抽样检验。</w:t>
      </w:r>
      <w:r>
        <w:rPr>
          <w:rFonts w:hint="eastAsia"/>
          <w:b w:val="0"/>
          <w:bCs/>
          <w:color w:val="auto"/>
          <w:sz w:val="24"/>
        </w:rPr>
        <w:t>拌合物性能检验应包括混凝土</w:t>
      </w:r>
      <w:r>
        <w:rPr>
          <w:rFonts w:hint="eastAsia"/>
          <w:b w:val="0"/>
          <w:bCs/>
          <w:color w:val="auto"/>
          <w:sz w:val="24"/>
          <w:lang w:eastAsia="zh-CN"/>
        </w:rPr>
        <w:t>坍</w:t>
      </w:r>
      <w:r>
        <w:rPr>
          <w:rFonts w:hint="eastAsia"/>
          <w:b w:val="0"/>
          <w:bCs/>
          <w:color w:val="auto"/>
          <w:sz w:val="24"/>
        </w:rPr>
        <w:t>落度及含气量等，当判断混凝土质量是否符合要求时，其</w:t>
      </w:r>
      <w:r>
        <w:rPr>
          <w:rFonts w:hint="eastAsia"/>
          <w:b w:val="0"/>
          <w:bCs/>
          <w:color w:val="auto"/>
          <w:sz w:val="24"/>
          <w:lang w:eastAsia="zh-CN"/>
        </w:rPr>
        <w:t>坍</w:t>
      </w:r>
      <w:r>
        <w:rPr>
          <w:rFonts w:hint="eastAsia"/>
          <w:b w:val="0"/>
          <w:bCs/>
          <w:color w:val="auto"/>
          <w:sz w:val="24"/>
        </w:rPr>
        <w:t>落度及含气量应以交货检验结果为依据。</w:t>
      </w:r>
    </w:p>
    <w:p>
      <w:pPr>
        <w:spacing w:line="360" w:lineRule="auto"/>
        <w:rPr>
          <w:rFonts w:hint="eastAsia"/>
          <w:color w:val="auto"/>
          <w:sz w:val="24"/>
        </w:rPr>
      </w:pPr>
      <w:r>
        <w:rPr>
          <w:rFonts w:hint="eastAsia"/>
          <w:b/>
          <w:color w:val="auto"/>
          <w:sz w:val="24"/>
        </w:rPr>
        <w:t>8.2.2</w:t>
      </w:r>
      <w:r>
        <w:rPr>
          <w:rFonts w:hint="eastAsia"/>
          <w:color w:val="auto"/>
          <w:sz w:val="24"/>
        </w:rPr>
        <w:t xml:space="preserve">  混凝土拌合物的取样检验频率应符合现行国家标准《混凝土强度检验评定标准》GB 50107和《混凝土结构工程施工质量验收规范》GB 50204的规定。</w:t>
      </w:r>
    </w:p>
    <w:p>
      <w:pPr>
        <w:spacing w:line="360" w:lineRule="auto"/>
        <w:rPr>
          <w:rFonts w:hint="eastAsia"/>
          <w:color w:val="auto"/>
          <w:sz w:val="24"/>
        </w:rPr>
      </w:pPr>
      <w:r>
        <w:rPr>
          <w:rFonts w:hint="eastAsia"/>
          <w:b/>
          <w:color w:val="auto"/>
          <w:sz w:val="24"/>
        </w:rPr>
        <w:t>8.2.3</w:t>
      </w:r>
      <w:r>
        <w:rPr>
          <w:rFonts w:hint="eastAsia"/>
          <w:color w:val="auto"/>
          <w:sz w:val="24"/>
        </w:rPr>
        <w:t xml:space="preserve">  特细砂混凝土拌合物性能应符合本规程5.1节的规定。特细砂混凝土拌合物的工作性能试验方法应符合现行国家标准《普通混凝土拌合物性能试验方法标准》GB/T 50080的规定。</w:t>
      </w:r>
    </w:p>
    <w:p>
      <w:pPr>
        <w:pStyle w:val="3"/>
        <w:rPr>
          <w:rFonts w:hint="eastAsia"/>
          <w:color w:val="auto"/>
        </w:rPr>
      </w:pPr>
      <w:bookmarkStart w:id="97" w:name="_Toc25784"/>
      <w:bookmarkStart w:id="98" w:name="_Toc5783"/>
      <w:r>
        <w:rPr>
          <w:rFonts w:hint="eastAsia"/>
          <w:color w:val="auto"/>
        </w:rPr>
        <w:t>8.3  力学性能检验</w:t>
      </w:r>
      <w:bookmarkEnd w:id="97"/>
      <w:bookmarkEnd w:id="98"/>
    </w:p>
    <w:p>
      <w:pPr>
        <w:spacing w:line="360" w:lineRule="auto"/>
        <w:rPr>
          <w:rFonts w:hint="eastAsia"/>
          <w:color w:val="auto"/>
          <w:sz w:val="24"/>
        </w:rPr>
      </w:pPr>
      <w:r>
        <w:rPr>
          <w:rFonts w:hint="eastAsia"/>
          <w:b/>
          <w:color w:val="auto"/>
          <w:sz w:val="24"/>
        </w:rPr>
        <w:t>8.3.1</w:t>
      </w:r>
      <w:r>
        <w:rPr>
          <w:rFonts w:hint="eastAsia"/>
          <w:color w:val="auto"/>
          <w:sz w:val="24"/>
        </w:rPr>
        <w:t xml:space="preserve">  特细砂混凝土力学性能的试验方法应按现行国家标准《普通混凝土力学性能试验方法标准》GB/T 50081的规定进行</w:t>
      </w:r>
      <w:r>
        <w:rPr>
          <w:rFonts w:hint="eastAsia"/>
          <w:b/>
          <w:color w:val="auto"/>
          <w:sz w:val="24"/>
        </w:rPr>
        <w:t>，</w:t>
      </w:r>
      <w:r>
        <w:rPr>
          <w:rFonts w:hint="eastAsia"/>
          <w:b w:val="0"/>
          <w:bCs/>
          <w:color w:val="auto"/>
          <w:sz w:val="24"/>
        </w:rPr>
        <w:t>并在混凝土出厂和交货验收时分别制作相应的混凝土试件</w:t>
      </w:r>
      <w:r>
        <w:rPr>
          <w:rFonts w:hint="eastAsia"/>
          <w:color w:val="auto"/>
          <w:sz w:val="24"/>
        </w:rPr>
        <w:t>。</w:t>
      </w:r>
    </w:p>
    <w:p>
      <w:pPr>
        <w:spacing w:line="500" w:lineRule="exact"/>
        <w:rPr>
          <w:rFonts w:hint="eastAsia"/>
          <w:color w:val="auto"/>
          <w:sz w:val="24"/>
        </w:rPr>
      </w:pPr>
      <w:r>
        <w:rPr>
          <w:rFonts w:hint="eastAsia"/>
          <w:b/>
          <w:color w:val="auto"/>
          <w:sz w:val="24"/>
        </w:rPr>
        <w:t>8.3.2</w:t>
      </w:r>
      <w:r>
        <w:rPr>
          <w:rFonts w:hint="eastAsia"/>
          <w:color w:val="auto"/>
          <w:sz w:val="24"/>
        </w:rPr>
        <w:t xml:space="preserve">  特细砂混凝土抗压强度的检验应符合现行国家标准《混凝土结构工程施工质量验收规范》GB 50204的规定，其他力学性能检验应符合设计要求和有关标准的规定。</w:t>
      </w:r>
      <w:r>
        <w:rPr>
          <w:rFonts w:hint="eastAsia"/>
          <w:b w:val="0"/>
          <w:bCs/>
          <w:color w:val="auto"/>
          <w:sz w:val="24"/>
        </w:rPr>
        <w:t>当判断混凝土质量是否符合要求时，其强度应以交货检验结果为依据。</w:t>
      </w:r>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olor w:val="auto"/>
        </w:rPr>
      </w:pPr>
      <w:bookmarkStart w:id="99" w:name="_Toc31100"/>
      <w:bookmarkStart w:id="100" w:name="_Toc32592"/>
      <w:r>
        <w:rPr>
          <w:rFonts w:hint="eastAsia"/>
          <w:color w:val="auto"/>
        </w:rPr>
        <w:t>8.4  长期性能和耐久性能检验</w:t>
      </w:r>
      <w:bookmarkEnd w:id="99"/>
      <w:bookmarkEnd w:id="100"/>
    </w:p>
    <w:p>
      <w:pPr>
        <w:spacing w:line="360" w:lineRule="auto"/>
        <w:rPr>
          <w:rFonts w:hint="eastAsia"/>
          <w:color w:val="auto"/>
          <w:sz w:val="24"/>
        </w:rPr>
      </w:pPr>
      <w:r>
        <w:rPr>
          <w:rFonts w:hint="eastAsia"/>
          <w:b/>
          <w:color w:val="auto"/>
          <w:sz w:val="24"/>
        </w:rPr>
        <w:t>8.4.1</w:t>
      </w:r>
      <w:r>
        <w:rPr>
          <w:rFonts w:hint="eastAsia"/>
          <w:color w:val="auto"/>
          <w:sz w:val="24"/>
        </w:rPr>
        <w:t xml:space="preserve">  特细砂混凝土长期性能和耐久性能试验方法应符合现行国家标准《普通混凝土长期性能和耐久性能试验方法标准》GB/T 50082的规定。</w:t>
      </w:r>
    </w:p>
    <w:p>
      <w:pPr>
        <w:spacing w:line="360" w:lineRule="auto"/>
        <w:rPr>
          <w:rFonts w:hint="eastAsia"/>
          <w:color w:val="auto"/>
          <w:sz w:val="24"/>
        </w:rPr>
      </w:pPr>
      <w:r>
        <w:rPr>
          <w:rFonts w:hint="eastAsia"/>
          <w:b/>
          <w:color w:val="auto"/>
          <w:sz w:val="24"/>
        </w:rPr>
        <w:t>8</w:t>
      </w:r>
      <w:r>
        <w:rPr>
          <w:b/>
          <w:color w:val="auto"/>
          <w:sz w:val="24"/>
        </w:rPr>
        <w:t>.</w:t>
      </w:r>
      <w:r>
        <w:rPr>
          <w:rFonts w:hint="eastAsia"/>
          <w:b/>
          <w:color w:val="auto"/>
          <w:sz w:val="24"/>
        </w:rPr>
        <w:t>4</w:t>
      </w:r>
      <w:r>
        <w:rPr>
          <w:b/>
          <w:color w:val="auto"/>
          <w:sz w:val="24"/>
        </w:rPr>
        <w:t>.</w:t>
      </w:r>
      <w:r>
        <w:rPr>
          <w:rFonts w:hint="eastAsia"/>
          <w:b/>
          <w:color w:val="auto"/>
          <w:sz w:val="24"/>
        </w:rPr>
        <w:t>2</w:t>
      </w:r>
      <w:r>
        <w:rPr>
          <w:color w:val="auto"/>
          <w:sz w:val="24"/>
        </w:rPr>
        <w:t xml:space="preserve">  </w:t>
      </w:r>
      <w:r>
        <w:rPr>
          <w:rFonts w:hint="eastAsia"/>
          <w:color w:val="auto"/>
          <w:sz w:val="24"/>
        </w:rPr>
        <w:t>特细砂混凝土碱含量试验方法应符合现行国家标准《混凝土结构设计规范》</w:t>
      </w:r>
      <w:r>
        <w:rPr>
          <w:color w:val="auto"/>
          <w:sz w:val="24"/>
        </w:rPr>
        <w:t>GB 50010</w:t>
      </w:r>
      <w:r>
        <w:rPr>
          <w:rFonts w:hint="eastAsia"/>
          <w:color w:val="auto"/>
          <w:sz w:val="24"/>
        </w:rPr>
        <w:t>、《预防混凝土碱骨料反应技术规范》</w:t>
      </w:r>
      <w:r>
        <w:rPr>
          <w:color w:val="auto"/>
          <w:sz w:val="24"/>
        </w:rPr>
        <w:t>GB/T 50733</w:t>
      </w:r>
      <w:r>
        <w:rPr>
          <w:rFonts w:hint="eastAsia"/>
          <w:color w:val="auto"/>
          <w:sz w:val="24"/>
        </w:rPr>
        <w:t>和现行行业标准《普通混凝土配合比设计标准》</w:t>
      </w:r>
      <w:r>
        <w:rPr>
          <w:color w:val="auto"/>
          <w:sz w:val="24"/>
        </w:rPr>
        <w:t>JGJ 55</w:t>
      </w:r>
      <w:r>
        <w:rPr>
          <w:rFonts w:hint="eastAsia"/>
          <w:color w:val="auto"/>
          <w:sz w:val="24"/>
        </w:rPr>
        <w:t>的规定。</w:t>
      </w:r>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olor w:val="auto"/>
        </w:rPr>
      </w:pPr>
      <w:bookmarkStart w:id="101" w:name="_Toc28465"/>
      <w:bookmarkStart w:id="102" w:name="_Toc20126"/>
      <w:r>
        <w:rPr>
          <w:rFonts w:hint="eastAsia"/>
          <w:color w:val="auto"/>
        </w:rPr>
        <w:t>8.5  混凝土工程验收</w:t>
      </w:r>
      <w:bookmarkEnd w:id="101"/>
      <w:bookmarkEnd w:id="102"/>
    </w:p>
    <w:p>
      <w:pPr>
        <w:spacing w:line="360" w:lineRule="auto"/>
        <w:rPr>
          <w:rFonts w:hint="eastAsia"/>
          <w:color w:val="auto"/>
          <w:sz w:val="24"/>
        </w:rPr>
      </w:pPr>
      <w:r>
        <w:rPr>
          <w:rFonts w:hint="eastAsia"/>
          <w:b/>
          <w:color w:val="auto"/>
          <w:sz w:val="24"/>
        </w:rPr>
        <w:t>8.5.1</w:t>
      </w:r>
      <w:r>
        <w:rPr>
          <w:rFonts w:hint="eastAsia"/>
          <w:color w:val="auto"/>
          <w:sz w:val="24"/>
        </w:rPr>
        <w:t xml:space="preserve">  特细砂混凝土抗压强度检验评定应符合现行国家标准《混凝土强度检验评定标准》GB/T 50107的规定。</w:t>
      </w:r>
    </w:p>
    <w:p>
      <w:pPr>
        <w:spacing w:line="360" w:lineRule="auto"/>
        <w:rPr>
          <w:rFonts w:hint="eastAsia"/>
          <w:color w:val="auto"/>
          <w:sz w:val="24"/>
        </w:rPr>
      </w:pPr>
      <w:r>
        <w:rPr>
          <w:rFonts w:hint="eastAsia"/>
          <w:b/>
          <w:color w:val="auto"/>
          <w:sz w:val="24"/>
        </w:rPr>
        <w:t>8.5.2</w:t>
      </w:r>
      <w:r>
        <w:rPr>
          <w:rFonts w:hint="eastAsia"/>
          <w:color w:val="auto"/>
          <w:sz w:val="24"/>
        </w:rPr>
        <w:t xml:space="preserve">  特细砂混凝土长期性能和耐久性能的检验评定应符合现行行业标准《混凝土耐久性检验评定标准》JGJ/T 193的规定。</w:t>
      </w:r>
    </w:p>
    <w:p>
      <w:pPr>
        <w:spacing w:line="360" w:lineRule="auto"/>
        <w:rPr>
          <w:rFonts w:hint="eastAsia"/>
          <w:color w:val="auto"/>
          <w:sz w:val="24"/>
        </w:rPr>
      </w:pPr>
      <w:r>
        <w:rPr>
          <w:rFonts w:hint="eastAsia"/>
          <w:b/>
          <w:color w:val="auto"/>
          <w:sz w:val="24"/>
        </w:rPr>
        <w:t>8.5.3</w:t>
      </w:r>
      <w:r>
        <w:rPr>
          <w:rFonts w:hint="eastAsia"/>
          <w:color w:val="auto"/>
          <w:sz w:val="24"/>
        </w:rPr>
        <w:t xml:space="preserve">  有特殊要求的其他试验项目的检测结果应符合合同规定和《预拌混凝土》GB/T </w:t>
      </w:r>
      <w:r>
        <w:rPr>
          <w:rFonts w:hint="eastAsia"/>
          <w:color w:val="auto"/>
          <w:sz w:val="24"/>
        </w:rPr>
        <w:t>14902</w:t>
      </w:r>
      <w:r>
        <w:rPr>
          <w:rFonts w:hint="eastAsia"/>
          <w:color w:val="auto"/>
          <w:sz w:val="24"/>
        </w:rPr>
        <w:t xml:space="preserve">的规定。 </w:t>
      </w:r>
    </w:p>
    <w:p>
      <w:pPr>
        <w:spacing w:line="360" w:lineRule="auto"/>
        <w:rPr>
          <w:rFonts w:hint="eastAsia"/>
          <w:color w:val="auto"/>
          <w:sz w:val="24"/>
        </w:rPr>
      </w:pPr>
      <w:r>
        <w:rPr>
          <w:rFonts w:hint="eastAsia"/>
          <w:b/>
          <w:color w:val="auto"/>
          <w:sz w:val="24"/>
        </w:rPr>
        <w:t>8.5.4</w:t>
      </w:r>
      <w:r>
        <w:rPr>
          <w:rFonts w:hint="eastAsia"/>
          <w:color w:val="auto"/>
          <w:sz w:val="24"/>
        </w:rPr>
        <w:t xml:space="preserve">  特细砂混凝土的工程施工质量验收应符合现行国家标准《混凝土结构工程施工质量验收规范》GB 50204的规定。</w:t>
      </w: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jc w:val="center"/>
        <w:rPr>
          <w:rFonts w:hint="eastAsia" w:ascii="Times New Roman" w:hAnsi="Times New Roman" w:eastAsia="宋体" w:cs="Times New Roman"/>
          <w:b/>
          <w:color w:val="auto"/>
          <w:kern w:val="2"/>
          <w:sz w:val="30"/>
          <w:szCs w:val="30"/>
          <w:lang w:val="en-US" w:eastAsia="zh-CN" w:bidi="ar-SA"/>
        </w:rPr>
      </w:pPr>
      <w:r>
        <w:rPr>
          <w:rFonts w:hint="eastAsia" w:ascii="Times New Roman" w:hAnsi="Times New Roman" w:eastAsia="宋体" w:cs="Times New Roman"/>
          <w:b/>
          <w:color w:val="auto"/>
          <w:kern w:val="2"/>
          <w:sz w:val="30"/>
          <w:szCs w:val="30"/>
          <w:lang w:val="en-US" w:eastAsia="zh-CN" w:bidi="ar-SA"/>
        </w:rPr>
        <w:t>附录</w:t>
      </w:r>
      <w:r>
        <w:rPr>
          <w:rFonts w:hint="eastAsia" w:cs="Times New Roman"/>
          <w:b/>
          <w:color w:val="auto"/>
          <w:kern w:val="2"/>
          <w:sz w:val="30"/>
          <w:szCs w:val="30"/>
          <w:lang w:val="en-US" w:eastAsia="zh-CN" w:bidi="ar-SA"/>
        </w:rPr>
        <w:t xml:space="preserve">A  </w:t>
      </w:r>
      <w:r>
        <w:rPr>
          <w:rFonts w:hint="eastAsia" w:ascii="Times New Roman" w:hAnsi="Times New Roman" w:eastAsia="宋体" w:cs="Times New Roman"/>
          <w:b/>
          <w:color w:val="auto"/>
          <w:kern w:val="2"/>
          <w:sz w:val="30"/>
          <w:szCs w:val="30"/>
          <w:lang w:val="en-US" w:eastAsia="zh-CN" w:bidi="ar-SA"/>
        </w:rPr>
        <w:t>特细砂氯离子全自动测定方法</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260" w:after="120" w:line="360" w:lineRule="auto"/>
        <w:jc w:val="both"/>
        <w:textAlignment w:val="auto"/>
        <w:rPr>
          <w:rFonts w:hint="default" w:ascii="Times New Roman" w:hAnsi="Times New Roman" w:eastAsia="宋体" w:cs="Times New Roman"/>
          <w:b/>
          <w:color w:val="auto"/>
          <w:kern w:val="2"/>
          <w:sz w:val="28"/>
          <w:szCs w:val="24"/>
          <w:lang w:val="en-US" w:eastAsia="zh-CN" w:bidi="ar-SA"/>
        </w:rPr>
      </w:pPr>
      <w:r>
        <w:rPr>
          <w:rFonts w:hint="eastAsia" w:ascii="Times New Roman" w:hAnsi="Times New Roman" w:eastAsia="宋体" w:cs="Times New Roman"/>
          <w:b/>
          <w:color w:val="auto"/>
          <w:kern w:val="2"/>
          <w:sz w:val="28"/>
          <w:szCs w:val="24"/>
          <w:lang w:val="en-US" w:eastAsia="zh-CN" w:bidi="ar-SA"/>
        </w:rPr>
        <w:t xml:space="preserve">A.1 </w:t>
      </w:r>
      <w:r>
        <w:rPr>
          <w:rFonts w:hint="default" w:ascii="Times New Roman" w:hAnsi="Times New Roman" w:eastAsia="宋体" w:cs="Times New Roman"/>
          <w:b/>
          <w:color w:val="auto"/>
          <w:kern w:val="2"/>
          <w:sz w:val="28"/>
          <w:szCs w:val="24"/>
          <w:lang w:val="en-US" w:eastAsia="zh-CN" w:bidi="ar-SA"/>
        </w:rPr>
        <w:t>范围</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本附录适用于特细砂氯离子的全自动测定。</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260" w:after="120" w:line="360" w:lineRule="auto"/>
        <w:jc w:val="both"/>
        <w:textAlignment w:val="auto"/>
        <w:rPr>
          <w:rFonts w:hint="default" w:ascii="Times New Roman" w:hAnsi="Times New Roman" w:eastAsia="宋体" w:cs="Times New Roman"/>
          <w:b/>
          <w:color w:val="auto"/>
          <w:kern w:val="2"/>
          <w:sz w:val="28"/>
          <w:szCs w:val="24"/>
          <w:lang w:val="en-US" w:eastAsia="zh-CN" w:bidi="ar-SA"/>
        </w:rPr>
      </w:pPr>
      <w:r>
        <w:rPr>
          <w:rFonts w:hint="eastAsia" w:ascii="Times New Roman" w:hAnsi="Times New Roman" w:eastAsia="宋体" w:cs="Times New Roman"/>
          <w:b/>
          <w:color w:val="auto"/>
          <w:kern w:val="2"/>
          <w:sz w:val="28"/>
          <w:szCs w:val="24"/>
          <w:lang w:val="en-US" w:eastAsia="zh-CN" w:bidi="ar-SA"/>
        </w:rPr>
        <w:t xml:space="preserve">A.2 </w:t>
      </w:r>
      <w:r>
        <w:rPr>
          <w:rFonts w:hint="default" w:ascii="Times New Roman" w:hAnsi="Times New Roman" w:eastAsia="宋体" w:cs="Times New Roman"/>
          <w:b/>
          <w:color w:val="auto"/>
          <w:kern w:val="2"/>
          <w:sz w:val="28"/>
          <w:szCs w:val="24"/>
          <w:lang w:val="en-US" w:eastAsia="zh-CN" w:bidi="ar-SA"/>
        </w:rPr>
        <w:t>原理</w:t>
      </w:r>
    </w:p>
    <w:p>
      <w:pPr>
        <w:pStyle w:val="23"/>
        <w:spacing w:line="360" w:lineRule="auto"/>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使用氯离子含量快速测定仪测定特细砂配置溶液的氯离子。</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260" w:after="120" w:line="360" w:lineRule="auto"/>
        <w:jc w:val="both"/>
        <w:textAlignment w:val="auto"/>
        <w:rPr>
          <w:rFonts w:hint="default" w:ascii="Times New Roman" w:hAnsi="Times New Roman" w:eastAsia="宋体" w:cs="Times New Roman"/>
          <w:b/>
          <w:color w:val="auto"/>
          <w:kern w:val="2"/>
          <w:sz w:val="28"/>
          <w:szCs w:val="24"/>
          <w:lang w:val="en-US" w:eastAsia="zh-CN" w:bidi="ar-SA"/>
        </w:rPr>
      </w:pPr>
      <w:r>
        <w:rPr>
          <w:rFonts w:hint="eastAsia" w:ascii="Times New Roman" w:hAnsi="Times New Roman" w:eastAsia="宋体" w:cs="Times New Roman"/>
          <w:b/>
          <w:color w:val="auto"/>
          <w:kern w:val="2"/>
          <w:sz w:val="28"/>
          <w:szCs w:val="24"/>
          <w:lang w:val="en-US" w:eastAsia="zh-CN" w:bidi="ar-SA"/>
        </w:rPr>
        <w:t xml:space="preserve">A.3 </w:t>
      </w:r>
      <w:r>
        <w:rPr>
          <w:rFonts w:hint="default" w:ascii="Times New Roman" w:hAnsi="Times New Roman" w:eastAsia="宋体" w:cs="Times New Roman"/>
          <w:b/>
          <w:color w:val="auto"/>
          <w:kern w:val="2"/>
          <w:sz w:val="28"/>
          <w:szCs w:val="24"/>
          <w:lang w:val="en-US" w:eastAsia="zh-CN" w:bidi="ar-SA"/>
        </w:rPr>
        <w:t>仪器设备</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b/>
          <w:bCs/>
          <w:color w:val="auto"/>
          <w:kern w:val="2"/>
          <w:sz w:val="24"/>
          <w:szCs w:val="24"/>
          <w:lang w:val="en-US" w:eastAsia="zh-CN" w:bidi="ar-SA"/>
        </w:rPr>
        <w:t>A.</w:t>
      </w:r>
      <w:r>
        <w:rPr>
          <w:rFonts w:hint="default" w:cs="Times New Roman"/>
          <w:b/>
          <w:bCs/>
          <w:color w:val="auto"/>
          <w:kern w:val="2"/>
          <w:sz w:val="24"/>
          <w:szCs w:val="24"/>
          <w:lang w:val="en-US" w:eastAsia="zh-CN" w:bidi="ar-SA"/>
        </w:rPr>
        <w:t>3.1</w:t>
      </w:r>
      <w:r>
        <w:rPr>
          <w:rFonts w:hint="default" w:cs="Times New Roman"/>
          <w:b w:val="0"/>
          <w:bCs w:val="0"/>
          <w:color w:val="auto"/>
          <w:kern w:val="2"/>
          <w:sz w:val="24"/>
          <w:szCs w:val="24"/>
          <w:lang w:val="en-US" w:eastAsia="zh-CN" w:bidi="ar-SA"/>
        </w:rPr>
        <w:t>烘箱</w:t>
      </w:r>
      <w:r>
        <w:rPr>
          <w:rFonts w:hint="eastAsia" w:cs="Times New Roman"/>
          <w:b w:val="0"/>
          <w:bCs w:val="0"/>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温度控制范围（105±5）℃</w:t>
      </w:r>
      <w:r>
        <w:rPr>
          <w:rFonts w:hint="eastAsia"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b/>
          <w:bCs/>
          <w:color w:val="auto"/>
          <w:kern w:val="2"/>
          <w:sz w:val="24"/>
          <w:szCs w:val="24"/>
          <w:lang w:val="en-US" w:eastAsia="zh-CN" w:bidi="ar-SA"/>
        </w:rPr>
        <w:t>A.</w:t>
      </w:r>
      <w:r>
        <w:rPr>
          <w:rFonts w:hint="default" w:cs="Times New Roman"/>
          <w:b/>
          <w:bCs/>
          <w:color w:val="auto"/>
          <w:kern w:val="2"/>
          <w:sz w:val="24"/>
          <w:szCs w:val="24"/>
          <w:lang w:val="en-US" w:eastAsia="zh-CN" w:bidi="ar-SA"/>
        </w:rPr>
        <w:t xml:space="preserve">3.2 </w:t>
      </w:r>
      <w:r>
        <w:rPr>
          <w:rFonts w:hint="default" w:cs="Times New Roman"/>
          <w:b w:val="0"/>
          <w:bCs w:val="0"/>
          <w:color w:val="auto"/>
          <w:kern w:val="2"/>
          <w:sz w:val="24"/>
          <w:szCs w:val="24"/>
          <w:lang w:val="en-US" w:eastAsia="zh-CN" w:bidi="ar-SA"/>
        </w:rPr>
        <w:t>氯离子含量快速测定仪</w:t>
      </w:r>
      <w:r>
        <w:rPr>
          <w:rFonts w:hint="eastAsia" w:cs="Times New Roman"/>
          <w:b w:val="0"/>
          <w:bCs w:val="0"/>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采用离子选择电极法ISE法的快速测定仪</w:t>
      </w:r>
      <w:r>
        <w:rPr>
          <w:rFonts w:hint="eastAsia"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jc w:val="left"/>
        <w:textAlignment w:val="auto"/>
        <w:rPr>
          <w:rFonts w:hint="default"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A.</w:t>
      </w:r>
      <w:r>
        <w:rPr>
          <w:rFonts w:hint="default" w:cs="Times New Roman"/>
          <w:b/>
          <w:bCs/>
          <w:color w:val="auto"/>
          <w:kern w:val="2"/>
          <w:sz w:val="24"/>
          <w:szCs w:val="24"/>
          <w:lang w:val="en-US" w:eastAsia="zh-CN" w:bidi="ar-SA"/>
        </w:rPr>
        <w:t xml:space="preserve">3.3 </w:t>
      </w:r>
      <w:r>
        <w:rPr>
          <w:rFonts w:hint="default" w:cs="Times New Roman"/>
          <w:b w:val="0"/>
          <w:bCs w:val="0"/>
          <w:color w:val="auto"/>
          <w:kern w:val="2"/>
          <w:sz w:val="24"/>
          <w:szCs w:val="24"/>
          <w:lang w:val="en-US" w:eastAsia="zh-CN" w:bidi="ar-SA"/>
        </w:rPr>
        <w:t>广口瓶</w:t>
      </w:r>
      <w:r>
        <w:rPr>
          <w:rFonts w:hint="eastAsia" w:cs="Times New Roman"/>
          <w:b w:val="0"/>
          <w:bCs w:val="0"/>
          <w:color w:val="auto"/>
          <w:kern w:val="2"/>
          <w:sz w:val="24"/>
          <w:szCs w:val="24"/>
          <w:lang w:val="en-US" w:eastAsia="zh-CN" w:bidi="ar-SA"/>
        </w:rPr>
        <w:t>（</w:t>
      </w:r>
      <w:r>
        <w:rPr>
          <w:rFonts w:hint="default" w:cs="Times New Roman"/>
          <w:b w:val="0"/>
          <w:bCs w:val="0"/>
          <w:color w:val="auto"/>
          <w:kern w:val="2"/>
          <w:sz w:val="24"/>
          <w:szCs w:val="24"/>
          <w:lang w:val="en-US" w:eastAsia="zh-CN" w:bidi="ar-SA"/>
        </w:rPr>
        <w:t>1000ml</w:t>
      </w:r>
      <w:r>
        <w:rPr>
          <w:rFonts w:hint="eastAsia" w:cs="Times New Roman"/>
          <w:b w:val="0"/>
          <w:bCs w:val="0"/>
          <w:color w:val="auto"/>
          <w:kern w:val="2"/>
          <w:sz w:val="24"/>
          <w:szCs w:val="24"/>
          <w:lang w:val="en-US" w:eastAsia="zh-CN" w:bidi="ar-SA"/>
        </w:rPr>
        <w:t>）、</w:t>
      </w:r>
      <w:r>
        <w:rPr>
          <w:rFonts w:hint="default" w:cs="Times New Roman"/>
          <w:b w:val="0"/>
          <w:bCs w:val="0"/>
          <w:color w:val="auto"/>
          <w:kern w:val="2"/>
          <w:sz w:val="24"/>
          <w:szCs w:val="24"/>
          <w:lang w:val="en-US" w:eastAsia="zh-CN" w:bidi="ar-SA"/>
        </w:rPr>
        <w:t>烧杯</w:t>
      </w:r>
      <w:r>
        <w:rPr>
          <w:rFonts w:hint="eastAsia" w:cs="Times New Roman"/>
          <w:b w:val="0"/>
          <w:bCs w:val="0"/>
          <w:color w:val="auto"/>
          <w:kern w:val="2"/>
          <w:sz w:val="24"/>
          <w:szCs w:val="24"/>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260" w:after="120" w:line="360" w:lineRule="auto"/>
        <w:jc w:val="both"/>
        <w:textAlignment w:val="auto"/>
        <w:rPr>
          <w:rFonts w:hint="default" w:ascii="Times New Roman" w:hAnsi="Times New Roman" w:eastAsia="宋体" w:cs="Times New Roman"/>
          <w:b/>
          <w:color w:val="auto"/>
          <w:kern w:val="2"/>
          <w:sz w:val="28"/>
          <w:szCs w:val="24"/>
          <w:lang w:val="en-US" w:eastAsia="zh-CN" w:bidi="ar-SA"/>
        </w:rPr>
      </w:pPr>
      <w:r>
        <w:rPr>
          <w:rFonts w:hint="eastAsia" w:ascii="Times New Roman" w:hAnsi="Times New Roman" w:eastAsia="宋体" w:cs="Times New Roman"/>
          <w:b/>
          <w:color w:val="auto"/>
          <w:kern w:val="2"/>
          <w:sz w:val="28"/>
          <w:szCs w:val="24"/>
          <w:lang w:val="en-US" w:eastAsia="zh-CN" w:bidi="ar-SA"/>
        </w:rPr>
        <w:t xml:space="preserve">A.4 </w:t>
      </w:r>
      <w:r>
        <w:rPr>
          <w:rFonts w:hint="default" w:ascii="Times New Roman" w:hAnsi="Times New Roman" w:eastAsia="宋体" w:cs="Times New Roman"/>
          <w:b/>
          <w:color w:val="auto"/>
          <w:kern w:val="2"/>
          <w:sz w:val="28"/>
          <w:szCs w:val="24"/>
          <w:lang w:val="en-US" w:eastAsia="zh-CN" w:bidi="ar-SA"/>
        </w:rPr>
        <w:t>试验步骤</w:t>
      </w:r>
    </w:p>
    <w:p>
      <w:pPr>
        <w:pStyle w:val="23"/>
        <w:keepNext w:val="0"/>
        <w:keepLines w:val="0"/>
        <w:pageBreakBefore w:val="0"/>
        <w:widowControl w:val="0"/>
        <w:kinsoku/>
        <w:wordWrap/>
        <w:overflowPunct/>
        <w:topLinePunct w:val="0"/>
        <w:autoSpaceDE/>
        <w:autoSpaceDN/>
        <w:bidi w:val="0"/>
        <w:adjustRightInd/>
        <w:snapToGrid/>
        <w:spacing w:before="120" w:after="120" w:line="360" w:lineRule="auto"/>
        <w:jc w:val="lef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A.</w:t>
      </w:r>
      <w:r>
        <w:rPr>
          <w:rFonts w:hint="default" w:ascii="Times New Roman" w:hAnsi="Times New Roman" w:eastAsia="宋体" w:cs="Times New Roman"/>
          <w:b/>
          <w:bCs/>
          <w:color w:val="auto"/>
          <w:kern w:val="2"/>
          <w:sz w:val="24"/>
          <w:szCs w:val="24"/>
          <w:lang w:val="en-US" w:eastAsia="zh-CN" w:bidi="ar-SA"/>
        </w:rPr>
        <w:t xml:space="preserve">4.1 </w:t>
      </w:r>
      <w:r>
        <w:rPr>
          <w:rFonts w:hint="default" w:ascii="Times New Roman" w:hAnsi="Times New Roman" w:eastAsia="宋体" w:cs="Times New Roman"/>
          <w:color w:val="auto"/>
          <w:kern w:val="2"/>
          <w:sz w:val="24"/>
          <w:szCs w:val="24"/>
          <w:lang w:val="en-US" w:eastAsia="zh-CN" w:bidi="ar-SA"/>
        </w:rPr>
        <w:t>称取缩分后试样约1100g，放在烘箱中（105±5）℃下烘干至恒重，待冷却至室温后，平均分为2份备用。</w:t>
      </w:r>
    </w:p>
    <w:p>
      <w:pPr>
        <w:pStyle w:val="23"/>
        <w:keepNext w:val="0"/>
        <w:keepLines w:val="0"/>
        <w:pageBreakBefore w:val="0"/>
        <w:widowControl w:val="0"/>
        <w:kinsoku/>
        <w:wordWrap/>
        <w:overflowPunct/>
        <w:topLinePunct w:val="0"/>
        <w:autoSpaceDE/>
        <w:autoSpaceDN/>
        <w:bidi w:val="0"/>
        <w:adjustRightInd/>
        <w:snapToGrid/>
        <w:spacing w:before="120" w:after="120" w:line="360" w:lineRule="auto"/>
        <w:jc w:val="lef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A.</w:t>
      </w:r>
      <w:r>
        <w:rPr>
          <w:rFonts w:hint="default" w:ascii="Times New Roman" w:hAnsi="Times New Roman" w:eastAsia="宋体" w:cs="Times New Roman"/>
          <w:b/>
          <w:bCs/>
          <w:color w:val="auto"/>
          <w:kern w:val="2"/>
          <w:sz w:val="24"/>
          <w:szCs w:val="24"/>
          <w:lang w:val="en-US" w:eastAsia="zh-CN" w:bidi="ar-SA"/>
        </w:rPr>
        <w:t xml:space="preserve">4.2 </w:t>
      </w:r>
      <w:r>
        <w:rPr>
          <w:rFonts w:hint="default" w:ascii="Times New Roman" w:hAnsi="Times New Roman" w:eastAsia="宋体" w:cs="Times New Roman"/>
          <w:color w:val="auto"/>
          <w:kern w:val="2"/>
          <w:sz w:val="24"/>
          <w:szCs w:val="24"/>
          <w:lang w:val="en-US" w:eastAsia="zh-CN" w:bidi="ar-SA"/>
        </w:rPr>
        <w:t>称取试样500g，将试样倒入广口瓶中。称取500ml蒸馏水倒入广口瓶中，塞上塞子。摇动5分钟，放置2小时，如此循环3次，使氯盐充分溶解。</w:t>
      </w:r>
    </w:p>
    <w:p>
      <w:pPr>
        <w:pStyle w:val="23"/>
        <w:keepNext w:val="0"/>
        <w:keepLines w:val="0"/>
        <w:pageBreakBefore w:val="0"/>
        <w:widowControl w:val="0"/>
        <w:kinsoku/>
        <w:wordWrap/>
        <w:overflowPunct/>
        <w:topLinePunct w:val="0"/>
        <w:autoSpaceDE/>
        <w:autoSpaceDN/>
        <w:bidi w:val="0"/>
        <w:adjustRightInd/>
        <w:snapToGrid/>
        <w:spacing w:before="120" w:after="120" w:line="360" w:lineRule="auto"/>
        <w:jc w:val="lef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A.</w:t>
      </w:r>
      <w:r>
        <w:rPr>
          <w:rFonts w:hint="default" w:ascii="Times New Roman" w:hAnsi="Times New Roman" w:eastAsia="宋体" w:cs="Times New Roman"/>
          <w:b/>
          <w:bCs/>
          <w:color w:val="auto"/>
          <w:kern w:val="2"/>
          <w:sz w:val="24"/>
          <w:szCs w:val="24"/>
          <w:lang w:val="en-US" w:eastAsia="zh-CN" w:bidi="ar-SA"/>
        </w:rPr>
        <w:t xml:space="preserve">4.3 </w:t>
      </w:r>
      <w:r>
        <w:rPr>
          <w:rFonts w:hint="default" w:ascii="Times New Roman" w:hAnsi="Times New Roman" w:eastAsia="宋体" w:cs="Times New Roman"/>
          <w:color w:val="auto"/>
          <w:kern w:val="2"/>
          <w:sz w:val="24"/>
          <w:szCs w:val="24"/>
          <w:lang w:val="en-US" w:eastAsia="zh-CN" w:bidi="ar-SA"/>
        </w:rPr>
        <w:t>取适量上清液置于烧杯中，根据烧杯大小，至少没过测量电极下端20mm处。然后按照仪器操作步骤快速测定氯离子含量，直接读取数值，结果以质量百分比计。</w:t>
      </w: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pStyle w:val="2"/>
        <w:keepNext/>
        <w:keepLines/>
        <w:pageBreakBefore w:val="0"/>
        <w:widowControl w:val="0"/>
        <w:kinsoku/>
        <w:wordWrap/>
        <w:overflowPunct/>
        <w:topLinePunct w:val="0"/>
        <w:autoSpaceDE/>
        <w:autoSpaceDN/>
        <w:bidi w:val="0"/>
        <w:adjustRightInd/>
        <w:snapToGrid/>
        <w:textAlignment w:val="auto"/>
        <w:rPr>
          <w:color w:val="auto"/>
          <w:lang w:val="zh-CN"/>
        </w:rPr>
      </w:pPr>
      <w:bookmarkStart w:id="103" w:name="_Toc6678"/>
      <w:bookmarkStart w:id="104" w:name="_Toc6888"/>
      <w:bookmarkStart w:id="105" w:name="_Toc1642"/>
      <w:bookmarkStart w:id="106" w:name="_Toc9423"/>
      <w:bookmarkStart w:id="107" w:name="_Toc32108"/>
      <w:bookmarkStart w:id="108" w:name="_Toc26951"/>
      <w:bookmarkStart w:id="109" w:name="_Toc23352"/>
      <w:bookmarkStart w:id="110" w:name="_Toc21364"/>
      <w:r>
        <w:rPr>
          <w:color w:val="auto"/>
          <w:lang w:val="zh-CN"/>
        </w:rPr>
        <w:t>本规程用词说明</w:t>
      </w:r>
      <w:bookmarkEnd w:id="103"/>
      <w:bookmarkEnd w:id="104"/>
      <w:bookmarkEnd w:id="105"/>
      <w:bookmarkEnd w:id="106"/>
      <w:bookmarkEnd w:id="107"/>
      <w:bookmarkEnd w:id="108"/>
      <w:bookmarkEnd w:id="109"/>
      <w:bookmarkEnd w:id="110"/>
    </w:p>
    <w:p>
      <w:pPr>
        <w:widowControl/>
        <w:spacing w:line="360" w:lineRule="auto"/>
        <w:jc w:val="left"/>
        <w:rPr>
          <w:color w:val="auto"/>
          <w:sz w:val="24"/>
        </w:rPr>
      </w:pPr>
      <w:r>
        <w:rPr>
          <w:b/>
          <w:color w:val="auto"/>
          <w:kern w:val="0"/>
          <w:sz w:val="24"/>
        </w:rPr>
        <w:t>1</w:t>
      </w:r>
      <w:r>
        <w:rPr>
          <w:rFonts w:hint="eastAsia"/>
          <w:b/>
          <w:color w:val="auto"/>
          <w:kern w:val="0"/>
          <w:sz w:val="24"/>
        </w:rPr>
        <w:t xml:space="preserve">  </w:t>
      </w:r>
      <w:r>
        <w:rPr>
          <w:color w:val="auto"/>
          <w:sz w:val="24"/>
        </w:rPr>
        <w:t>为了便于在执行本规程条文时区别对待，对要求严格程度不同的用词说明如下：</w:t>
      </w:r>
    </w:p>
    <w:p>
      <w:pPr>
        <w:widowControl/>
        <w:tabs>
          <w:tab w:val="left" w:pos="735"/>
        </w:tabs>
        <w:spacing w:line="360" w:lineRule="auto"/>
        <w:ind w:firstLine="482" w:firstLineChars="200"/>
        <w:jc w:val="left"/>
        <w:outlineLvl w:val="0"/>
        <w:rPr>
          <w:color w:val="auto"/>
          <w:sz w:val="24"/>
        </w:rPr>
      </w:pPr>
      <w:bookmarkStart w:id="111" w:name="_Toc10116"/>
      <w:bookmarkStart w:id="112" w:name="_Toc517"/>
      <w:bookmarkStart w:id="113" w:name="_Toc26399"/>
      <w:bookmarkStart w:id="114" w:name="_Toc32541"/>
      <w:r>
        <w:rPr>
          <w:b/>
          <w:color w:val="auto"/>
          <w:sz w:val="24"/>
        </w:rPr>
        <w:t>1</w:t>
      </w:r>
      <w:r>
        <w:rPr>
          <w:color w:val="auto"/>
          <w:sz w:val="24"/>
        </w:rPr>
        <w:t>）表示很严格，非这样做不可的：</w:t>
      </w:r>
      <w:bookmarkEnd w:id="111"/>
      <w:bookmarkEnd w:id="112"/>
      <w:bookmarkEnd w:id="113"/>
      <w:bookmarkEnd w:id="114"/>
    </w:p>
    <w:p>
      <w:pPr>
        <w:widowControl/>
        <w:spacing w:line="360" w:lineRule="auto"/>
        <w:ind w:firstLine="840" w:firstLineChars="350"/>
        <w:jc w:val="left"/>
        <w:rPr>
          <w:color w:val="auto"/>
          <w:kern w:val="0"/>
          <w:sz w:val="24"/>
        </w:rPr>
      </w:pPr>
      <w:r>
        <w:rPr>
          <w:color w:val="auto"/>
          <w:kern w:val="0"/>
          <w:sz w:val="24"/>
        </w:rPr>
        <w:t>正面词采用</w:t>
      </w:r>
      <w:r>
        <w:rPr>
          <w:rFonts w:hint="eastAsia"/>
          <w:color w:val="auto"/>
          <w:kern w:val="0"/>
          <w:sz w:val="24"/>
        </w:rPr>
        <w:t>“须”或者“</w:t>
      </w:r>
      <w:r>
        <w:rPr>
          <w:color w:val="auto"/>
          <w:kern w:val="0"/>
          <w:sz w:val="24"/>
        </w:rPr>
        <w:t>必须</w:t>
      </w:r>
      <w:r>
        <w:rPr>
          <w:rFonts w:hint="eastAsia"/>
          <w:color w:val="auto"/>
          <w:kern w:val="0"/>
          <w:sz w:val="24"/>
        </w:rPr>
        <w:t>”</w:t>
      </w:r>
      <w:r>
        <w:rPr>
          <w:color w:val="auto"/>
          <w:kern w:val="0"/>
          <w:sz w:val="24"/>
        </w:rPr>
        <w:t>，反面词采用</w:t>
      </w:r>
      <w:r>
        <w:rPr>
          <w:rFonts w:hint="eastAsia"/>
          <w:color w:val="auto"/>
          <w:kern w:val="0"/>
          <w:sz w:val="24"/>
        </w:rPr>
        <w:t>“</w:t>
      </w:r>
      <w:r>
        <w:rPr>
          <w:color w:val="auto"/>
          <w:kern w:val="0"/>
          <w:sz w:val="24"/>
        </w:rPr>
        <w:t>严禁</w:t>
      </w:r>
      <w:r>
        <w:rPr>
          <w:rFonts w:hint="eastAsia"/>
          <w:color w:val="auto"/>
          <w:kern w:val="0"/>
          <w:sz w:val="24"/>
        </w:rPr>
        <w:t>”</w:t>
      </w:r>
      <w:r>
        <w:rPr>
          <w:color w:val="auto"/>
          <w:kern w:val="0"/>
          <w:sz w:val="24"/>
        </w:rPr>
        <w:t>；</w:t>
      </w:r>
    </w:p>
    <w:p>
      <w:pPr>
        <w:widowControl/>
        <w:tabs>
          <w:tab w:val="left" w:pos="735"/>
        </w:tabs>
        <w:spacing w:line="360" w:lineRule="auto"/>
        <w:ind w:left="420"/>
        <w:jc w:val="left"/>
        <w:outlineLvl w:val="0"/>
        <w:rPr>
          <w:color w:val="auto"/>
          <w:sz w:val="24"/>
        </w:rPr>
      </w:pPr>
      <w:bookmarkStart w:id="115" w:name="_Toc27945"/>
      <w:bookmarkStart w:id="116" w:name="_Toc22099"/>
      <w:bookmarkStart w:id="117" w:name="_Toc22418"/>
      <w:bookmarkStart w:id="118" w:name="_Toc27774"/>
      <w:r>
        <w:rPr>
          <w:b/>
          <w:color w:val="auto"/>
          <w:sz w:val="24"/>
        </w:rPr>
        <w:t>2</w:t>
      </w:r>
      <w:r>
        <w:rPr>
          <w:color w:val="auto"/>
          <w:sz w:val="24"/>
        </w:rPr>
        <w:t>）表示严格，在正常情况下均应这样做的：</w:t>
      </w:r>
      <w:bookmarkEnd w:id="115"/>
      <w:bookmarkEnd w:id="116"/>
      <w:bookmarkEnd w:id="117"/>
      <w:bookmarkEnd w:id="118"/>
    </w:p>
    <w:p>
      <w:pPr>
        <w:widowControl/>
        <w:spacing w:line="360" w:lineRule="auto"/>
        <w:ind w:firstLine="840" w:firstLineChars="350"/>
        <w:jc w:val="left"/>
        <w:rPr>
          <w:color w:val="auto"/>
          <w:kern w:val="0"/>
          <w:sz w:val="24"/>
        </w:rPr>
      </w:pPr>
      <w:r>
        <w:rPr>
          <w:color w:val="auto"/>
          <w:kern w:val="0"/>
          <w:sz w:val="24"/>
        </w:rPr>
        <w:t>正面词采用</w:t>
      </w:r>
      <w:r>
        <w:rPr>
          <w:rFonts w:hint="eastAsia"/>
          <w:color w:val="auto"/>
          <w:kern w:val="0"/>
          <w:sz w:val="24"/>
        </w:rPr>
        <w:t>“</w:t>
      </w:r>
      <w:r>
        <w:rPr>
          <w:color w:val="auto"/>
          <w:kern w:val="0"/>
          <w:sz w:val="24"/>
        </w:rPr>
        <w:t>应</w:t>
      </w:r>
      <w:r>
        <w:rPr>
          <w:rFonts w:hint="eastAsia"/>
          <w:color w:val="auto"/>
          <w:kern w:val="0"/>
          <w:sz w:val="24"/>
        </w:rPr>
        <w:t>”</w:t>
      </w:r>
      <w:r>
        <w:rPr>
          <w:color w:val="auto"/>
          <w:kern w:val="0"/>
          <w:sz w:val="24"/>
        </w:rPr>
        <w:t>，反面词采用</w:t>
      </w:r>
      <w:r>
        <w:rPr>
          <w:rFonts w:hint="eastAsia"/>
          <w:color w:val="auto"/>
          <w:kern w:val="0"/>
          <w:sz w:val="24"/>
        </w:rPr>
        <w:t>“</w:t>
      </w:r>
      <w:r>
        <w:rPr>
          <w:color w:val="auto"/>
          <w:kern w:val="0"/>
          <w:sz w:val="24"/>
        </w:rPr>
        <w:t>不应</w:t>
      </w:r>
      <w:r>
        <w:rPr>
          <w:rFonts w:hint="eastAsia"/>
          <w:color w:val="auto"/>
          <w:kern w:val="0"/>
          <w:sz w:val="24"/>
        </w:rPr>
        <w:t>”</w:t>
      </w:r>
      <w:r>
        <w:rPr>
          <w:color w:val="auto"/>
          <w:kern w:val="0"/>
          <w:sz w:val="24"/>
        </w:rPr>
        <w:t>或</w:t>
      </w:r>
      <w:r>
        <w:rPr>
          <w:rFonts w:hint="eastAsia"/>
          <w:color w:val="auto"/>
          <w:kern w:val="0"/>
          <w:sz w:val="24"/>
        </w:rPr>
        <w:t>“</w:t>
      </w:r>
      <w:r>
        <w:rPr>
          <w:color w:val="auto"/>
          <w:kern w:val="0"/>
          <w:sz w:val="24"/>
        </w:rPr>
        <w:t>不得</w:t>
      </w:r>
      <w:r>
        <w:rPr>
          <w:rFonts w:hint="eastAsia"/>
          <w:color w:val="auto"/>
          <w:kern w:val="0"/>
          <w:sz w:val="24"/>
        </w:rPr>
        <w:t>”</w:t>
      </w:r>
      <w:r>
        <w:rPr>
          <w:color w:val="auto"/>
          <w:kern w:val="0"/>
          <w:sz w:val="24"/>
        </w:rPr>
        <w:t>；</w:t>
      </w:r>
    </w:p>
    <w:p>
      <w:pPr>
        <w:widowControl/>
        <w:tabs>
          <w:tab w:val="left" w:pos="735"/>
        </w:tabs>
        <w:spacing w:line="360" w:lineRule="auto"/>
        <w:ind w:left="420"/>
        <w:jc w:val="left"/>
        <w:outlineLvl w:val="0"/>
        <w:rPr>
          <w:color w:val="auto"/>
          <w:sz w:val="24"/>
        </w:rPr>
      </w:pPr>
      <w:bookmarkStart w:id="119" w:name="_Toc24985"/>
      <w:bookmarkStart w:id="120" w:name="_Toc9366"/>
      <w:bookmarkStart w:id="121" w:name="_Toc20665"/>
      <w:bookmarkStart w:id="122" w:name="_Toc26639"/>
      <w:r>
        <w:rPr>
          <w:b/>
          <w:color w:val="auto"/>
          <w:sz w:val="24"/>
        </w:rPr>
        <w:t>3</w:t>
      </w:r>
      <w:r>
        <w:rPr>
          <w:color w:val="auto"/>
          <w:sz w:val="24"/>
        </w:rPr>
        <w:t>）表示允许稍有选择，在条件许可时首先应这样做的：</w:t>
      </w:r>
      <w:bookmarkEnd w:id="119"/>
      <w:bookmarkEnd w:id="120"/>
      <w:bookmarkEnd w:id="121"/>
      <w:bookmarkEnd w:id="122"/>
    </w:p>
    <w:p>
      <w:pPr>
        <w:widowControl/>
        <w:spacing w:line="360" w:lineRule="auto"/>
        <w:ind w:firstLine="840" w:firstLineChars="350"/>
        <w:jc w:val="left"/>
        <w:rPr>
          <w:color w:val="auto"/>
          <w:kern w:val="0"/>
          <w:sz w:val="24"/>
        </w:rPr>
      </w:pPr>
      <w:r>
        <w:rPr>
          <w:color w:val="auto"/>
          <w:kern w:val="0"/>
          <w:sz w:val="24"/>
        </w:rPr>
        <w:t>正面词采用</w:t>
      </w:r>
      <w:r>
        <w:rPr>
          <w:rFonts w:hint="eastAsia"/>
          <w:color w:val="auto"/>
          <w:kern w:val="0"/>
          <w:sz w:val="24"/>
        </w:rPr>
        <w:t>“</w:t>
      </w:r>
      <w:r>
        <w:rPr>
          <w:color w:val="auto"/>
          <w:kern w:val="0"/>
          <w:sz w:val="24"/>
        </w:rPr>
        <w:t>宜</w:t>
      </w:r>
      <w:r>
        <w:rPr>
          <w:rFonts w:hint="eastAsia"/>
          <w:color w:val="auto"/>
          <w:kern w:val="0"/>
          <w:sz w:val="24"/>
        </w:rPr>
        <w:t>”</w:t>
      </w:r>
      <w:r>
        <w:rPr>
          <w:color w:val="auto"/>
          <w:kern w:val="0"/>
          <w:sz w:val="24"/>
        </w:rPr>
        <w:t>，反面词采用</w:t>
      </w:r>
      <w:r>
        <w:rPr>
          <w:rFonts w:hint="eastAsia"/>
          <w:color w:val="auto"/>
          <w:kern w:val="0"/>
          <w:sz w:val="24"/>
        </w:rPr>
        <w:t>“</w:t>
      </w:r>
      <w:r>
        <w:rPr>
          <w:color w:val="auto"/>
          <w:kern w:val="0"/>
          <w:sz w:val="24"/>
        </w:rPr>
        <w:t>不宜</w:t>
      </w:r>
      <w:r>
        <w:rPr>
          <w:rFonts w:hint="eastAsia"/>
          <w:color w:val="auto"/>
          <w:kern w:val="0"/>
          <w:sz w:val="24"/>
        </w:rPr>
        <w:t>”</w:t>
      </w:r>
      <w:r>
        <w:rPr>
          <w:color w:val="auto"/>
          <w:kern w:val="0"/>
          <w:sz w:val="24"/>
        </w:rPr>
        <w:t>；</w:t>
      </w:r>
    </w:p>
    <w:p>
      <w:pPr>
        <w:widowControl/>
        <w:tabs>
          <w:tab w:val="left" w:pos="735"/>
        </w:tabs>
        <w:spacing w:line="360" w:lineRule="auto"/>
        <w:ind w:left="420"/>
        <w:jc w:val="left"/>
        <w:outlineLvl w:val="0"/>
        <w:rPr>
          <w:color w:val="auto"/>
          <w:sz w:val="24"/>
        </w:rPr>
      </w:pPr>
      <w:bookmarkStart w:id="123" w:name="_Toc4251"/>
      <w:bookmarkStart w:id="124" w:name="_Toc13626"/>
      <w:bookmarkStart w:id="125" w:name="_Toc11305"/>
      <w:bookmarkStart w:id="126" w:name="_Toc15089"/>
      <w:r>
        <w:rPr>
          <w:b/>
          <w:color w:val="auto"/>
          <w:sz w:val="24"/>
        </w:rPr>
        <w:t>4</w:t>
      </w:r>
      <w:r>
        <w:rPr>
          <w:color w:val="auto"/>
          <w:sz w:val="24"/>
        </w:rPr>
        <w:t>）表示有选择，在一定条件下可以这样做的：</w:t>
      </w:r>
      <w:r>
        <w:rPr>
          <w:color w:val="auto"/>
          <w:kern w:val="0"/>
          <w:sz w:val="24"/>
        </w:rPr>
        <w:t>采用</w:t>
      </w:r>
      <w:r>
        <w:rPr>
          <w:rFonts w:hint="eastAsia"/>
          <w:color w:val="auto"/>
          <w:kern w:val="0"/>
          <w:sz w:val="24"/>
        </w:rPr>
        <w:t>“</w:t>
      </w:r>
      <w:r>
        <w:rPr>
          <w:color w:val="auto"/>
          <w:sz w:val="24"/>
        </w:rPr>
        <w:t>可</w:t>
      </w:r>
      <w:r>
        <w:rPr>
          <w:rFonts w:hint="eastAsia"/>
          <w:color w:val="auto"/>
          <w:kern w:val="0"/>
          <w:sz w:val="24"/>
        </w:rPr>
        <w:t>”</w:t>
      </w:r>
      <w:r>
        <w:rPr>
          <w:color w:val="auto"/>
          <w:sz w:val="24"/>
        </w:rPr>
        <w:t>。</w:t>
      </w:r>
      <w:bookmarkEnd w:id="123"/>
      <w:bookmarkEnd w:id="124"/>
      <w:bookmarkEnd w:id="125"/>
      <w:bookmarkEnd w:id="126"/>
    </w:p>
    <w:p>
      <w:pPr>
        <w:spacing w:line="360" w:lineRule="auto"/>
        <w:rPr>
          <w:color w:val="auto"/>
          <w:kern w:val="0"/>
          <w:sz w:val="24"/>
        </w:rPr>
      </w:pPr>
      <w:r>
        <w:rPr>
          <w:b/>
          <w:color w:val="auto"/>
          <w:kern w:val="0"/>
          <w:sz w:val="24"/>
        </w:rPr>
        <w:t>2</w:t>
      </w:r>
      <w:r>
        <w:rPr>
          <w:color w:val="auto"/>
          <w:kern w:val="0"/>
          <w:sz w:val="24"/>
        </w:rPr>
        <w:t xml:space="preserve">  规程中指明应按其他有关标准执行时，写法为：</w:t>
      </w:r>
      <w:r>
        <w:rPr>
          <w:rFonts w:hint="eastAsia"/>
          <w:color w:val="auto"/>
          <w:kern w:val="0"/>
          <w:sz w:val="24"/>
        </w:rPr>
        <w:t>“</w:t>
      </w:r>
      <w:r>
        <w:rPr>
          <w:color w:val="auto"/>
          <w:kern w:val="0"/>
          <w:sz w:val="24"/>
        </w:rPr>
        <w:t>应符合……的规定（或要求）</w:t>
      </w:r>
      <w:r>
        <w:rPr>
          <w:rFonts w:hint="eastAsia"/>
          <w:color w:val="auto"/>
          <w:kern w:val="0"/>
          <w:sz w:val="24"/>
        </w:rPr>
        <w:t>”</w:t>
      </w:r>
      <w:r>
        <w:rPr>
          <w:color w:val="auto"/>
          <w:kern w:val="0"/>
          <w:sz w:val="24"/>
        </w:rPr>
        <w:t>或</w:t>
      </w:r>
      <w:r>
        <w:rPr>
          <w:rFonts w:hint="eastAsia"/>
          <w:color w:val="auto"/>
          <w:kern w:val="0"/>
          <w:sz w:val="24"/>
        </w:rPr>
        <w:t>“</w:t>
      </w:r>
      <w:r>
        <w:rPr>
          <w:color w:val="auto"/>
          <w:kern w:val="0"/>
          <w:sz w:val="24"/>
        </w:rPr>
        <w:t>应按……执行</w:t>
      </w:r>
      <w:r>
        <w:rPr>
          <w:rFonts w:hint="eastAsia"/>
          <w:color w:val="auto"/>
          <w:kern w:val="0"/>
          <w:sz w:val="24"/>
        </w:rPr>
        <w:t>”。</w:t>
      </w: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pStyle w:val="2"/>
        <w:keepNext/>
        <w:keepLines/>
        <w:pageBreakBefore w:val="0"/>
        <w:widowControl w:val="0"/>
        <w:kinsoku/>
        <w:wordWrap/>
        <w:overflowPunct/>
        <w:topLinePunct w:val="0"/>
        <w:autoSpaceDE/>
        <w:autoSpaceDN/>
        <w:bidi w:val="0"/>
        <w:adjustRightInd/>
        <w:snapToGrid/>
        <w:textAlignment w:val="auto"/>
        <w:rPr>
          <w:color w:val="auto"/>
          <w:lang w:val="zh-CN"/>
        </w:rPr>
      </w:pPr>
      <w:bookmarkStart w:id="127" w:name="_Toc17432"/>
      <w:bookmarkStart w:id="128" w:name="_Toc14000"/>
      <w:bookmarkStart w:id="129" w:name="_Toc2887"/>
      <w:bookmarkStart w:id="130" w:name="_Toc30012"/>
      <w:bookmarkStart w:id="131" w:name="_Toc31123"/>
      <w:bookmarkStart w:id="132" w:name="_Toc24977"/>
      <w:bookmarkStart w:id="133" w:name="_Toc9445"/>
      <w:bookmarkStart w:id="134" w:name="_Toc4586"/>
      <w:bookmarkStart w:id="135" w:name="_Toc32633"/>
      <w:r>
        <w:rPr>
          <w:rFonts w:hint="eastAsia"/>
          <w:color w:val="auto"/>
          <w:lang w:val="zh-CN"/>
        </w:rPr>
        <w:t>引用标准名录</w:t>
      </w:r>
      <w:bookmarkEnd w:id="127"/>
      <w:bookmarkEnd w:id="128"/>
      <w:bookmarkEnd w:id="129"/>
      <w:bookmarkEnd w:id="130"/>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36" w:name="_Toc1909"/>
      <w:r>
        <w:rPr>
          <w:b/>
          <w:color w:val="auto"/>
          <w:sz w:val="24"/>
        </w:rPr>
        <w:t xml:space="preserve">1 </w:t>
      </w:r>
      <w:r>
        <w:rPr>
          <w:color w:val="auto"/>
          <w:sz w:val="24"/>
        </w:rPr>
        <w:t>《通用硅酸盐水泥》GB 175</w:t>
      </w:r>
      <w:bookmarkEnd w:id="136"/>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37" w:name="_Toc10447"/>
      <w:r>
        <w:rPr>
          <w:rFonts w:hint="eastAsia"/>
          <w:b/>
          <w:bCs/>
          <w:color w:val="auto"/>
          <w:sz w:val="24"/>
          <w:lang w:val="en-US" w:eastAsia="zh-CN"/>
        </w:rPr>
        <w:t>2</w:t>
      </w:r>
      <w:r>
        <w:rPr>
          <w:color w:val="auto"/>
          <w:sz w:val="24"/>
        </w:rPr>
        <w:t xml:space="preserve"> </w:t>
      </w:r>
      <w:r>
        <w:rPr>
          <w:rFonts w:hint="eastAsia"/>
          <w:color w:val="auto"/>
          <w:sz w:val="24"/>
        </w:rPr>
        <w:t>《中热硅酸盐水泥、低热硅酸盐水泥》GB/T 200</w:t>
      </w:r>
      <w:bookmarkEnd w:id="137"/>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sz w:val="24"/>
        </w:rPr>
      </w:pPr>
      <w:bookmarkStart w:id="138" w:name="_Toc13216"/>
      <w:r>
        <w:rPr>
          <w:rFonts w:hint="eastAsia"/>
          <w:b/>
          <w:bCs/>
          <w:color w:val="auto"/>
          <w:sz w:val="24"/>
          <w:lang w:val="en-US" w:eastAsia="zh-CN"/>
        </w:rPr>
        <w:t>3</w:t>
      </w:r>
      <w:r>
        <w:rPr>
          <w:color w:val="auto"/>
          <w:sz w:val="24"/>
        </w:rPr>
        <w:t xml:space="preserve"> </w:t>
      </w:r>
      <w:r>
        <w:rPr>
          <w:rFonts w:hint="eastAsia"/>
          <w:color w:val="auto"/>
          <w:sz w:val="24"/>
        </w:rPr>
        <w:t>《用于水泥和混凝土中的粉煤灰》GB/T 1596</w:t>
      </w:r>
      <w:bookmarkEnd w:id="138"/>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39" w:name="_Toc16004"/>
      <w:r>
        <w:rPr>
          <w:rFonts w:hint="eastAsia"/>
          <w:b/>
          <w:bCs/>
          <w:color w:val="auto"/>
          <w:sz w:val="24"/>
          <w:lang w:val="en-US" w:eastAsia="zh-CN"/>
        </w:rPr>
        <w:t>4</w:t>
      </w:r>
      <w:r>
        <w:rPr>
          <w:color w:val="auto"/>
          <w:sz w:val="24"/>
        </w:rPr>
        <w:t xml:space="preserve"> 《混凝土外加剂》GB 8076</w:t>
      </w:r>
      <w:bookmarkEnd w:id="139"/>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sz w:val="24"/>
          <w:lang w:val="en-US" w:eastAsia="zh-CN"/>
        </w:rPr>
      </w:pPr>
      <w:bookmarkStart w:id="140" w:name="_Toc29696"/>
      <w:r>
        <w:rPr>
          <w:rFonts w:hint="eastAsia"/>
          <w:b/>
          <w:bCs/>
          <w:color w:val="auto"/>
          <w:sz w:val="24"/>
          <w:lang w:val="en-US" w:eastAsia="zh-CN"/>
        </w:rPr>
        <w:t>5</w:t>
      </w:r>
      <w:r>
        <w:rPr>
          <w:color w:val="auto"/>
          <w:sz w:val="24"/>
        </w:rPr>
        <w:t xml:space="preserve"> </w:t>
      </w:r>
      <w:r>
        <w:rPr>
          <w:rFonts w:hint="eastAsia"/>
          <w:color w:val="auto"/>
          <w:sz w:val="24"/>
        </w:rPr>
        <w:t>《建筑施工机械与设备混凝土搅拌站（楼）》</w:t>
      </w:r>
      <w:r>
        <w:rPr>
          <w:color w:val="auto"/>
          <w:sz w:val="24"/>
        </w:rPr>
        <w:t>GB</w:t>
      </w:r>
      <w:r>
        <w:rPr>
          <w:rFonts w:hint="eastAsia"/>
          <w:color w:val="auto"/>
          <w:sz w:val="24"/>
          <w:lang w:val="en-US" w:eastAsia="zh-CN"/>
        </w:rPr>
        <w:t>/T</w:t>
      </w:r>
      <w:r>
        <w:rPr>
          <w:color w:val="auto"/>
          <w:sz w:val="24"/>
        </w:rPr>
        <w:t xml:space="preserve"> </w:t>
      </w:r>
      <w:r>
        <w:rPr>
          <w:rFonts w:hint="eastAsia"/>
          <w:color w:val="auto"/>
          <w:sz w:val="24"/>
          <w:lang w:val="en-US" w:eastAsia="zh-CN"/>
        </w:rPr>
        <w:t>10171</w:t>
      </w:r>
      <w:bookmarkEnd w:id="14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41" w:name="_Toc2183"/>
      <w:r>
        <w:rPr>
          <w:rFonts w:hint="eastAsia"/>
          <w:b/>
          <w:bCs/>
          <w:color w:val="auto"/>
          <w:sz w:val="24"/>
          <w:lang w:val="en-US" w:eastAsia="zh-CN"/>
        </w:rPr>
        <w:t>6</w:t>
      </w:r>
      <w:r>
        <w:rPr>
          <w:color w:val="auto"/>
          <w:sz w:val="24"/>
        </w:rPr>
        <w:t xml:space="preserve"> 《建设用砂》GB/T 14684</w:t>
      </w:r>
      <w:bookmarkEnd w:id="141"/>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42" w:name="_Toc17841"/>
      <w:r>
        <w:rPr>
          <w:rFonts w:hint="eastAsia"/>
          <w:b/>
          <w:bCs/>
          <w:color w:val="auto"/>
          <w:sz w:val="24"/>
          <w:lang w:val="en-US" w:eastAsia="zh-CN"/>
        </w:rPr>
        <w:t>7</w:t>
      </w:r>
      <w:r>
        <w:rPr>
          <w:rFonts w:hint="eastAsia"/>
          <w:color w:val="auto"/>
          <w:sz w:val="24"/>
        </w:rPr>
        <w:t xml:space="preserve"> 《建设用卵石、碎石》GB/T</w:t>
      </w:r>
      <w:r>
        <w:rPr>
          <w:color w:val="auto"/>
          <w:sz w:val="24"/>
        </w:rPr>
        <w:t xml:space="preserve"> </w:t>
      </w:r>
      <w:r>
        <w:rPr>
          <w:rFonts w:hint="eastAsia"/>
          <w:color w:val="auto"/>
          <w:sz w:val="24"/>
        </w:rPr>
        <w:t>14685</w:t>
      </w:r>
      <w:bookmarkEnd w:id="142"/>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r>
        <w:rPr>
          <w:rFonts w:hint="eastAsia"/>
          <w:b/>
          <w:bCs/>
          <w:color w:val="auto"/>
          <w:sz w:val="24"/>
          <w:lang w:val="en-US" w:eastAsia="zh-CN"/>
        </w:rPr>
        <w:t xml:space="preserve">8 </w:t>
      </w:r>
      <w:r>
        <w:rPr>
          <w:rFonts w:hint="eastAsia"/>
          <w:color w:val="auto"/>
          <w:sz w:val="24"/>
        </w:rPr>
        <w:t>《预拌混凝土》GB/T 14902</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sz w:val="24"/>
        </w:rPr>
      </w:pPr>
      <w:r>
        <w:rPr>
          <w:rFonts w:hint="eastAsia"/>
          <w:b/>
          <w:bCs/>
          <w:color w:val="auto"/>
          <w:sz w:val="24"/>
          <w:lang w:val="en-US" w:eastAsia="zh-CN"/>
        </w:rPr>
        <w:t xml:space="preserve">9 </w:t>
      </w:r>
      <w:r>
        <w:rPr>
          <w:rFonts w:hint="eastAsia"/>
          <w:color w:val="auto"/>
          <w:sz w:val="24"/>
        </w:rPr>
        <w:t>《用于水泥和混凝土中的粒化高炉矿渣粉》GB/T 18046</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eastAsia="宋体"/>
          <w:color w:val="auto"/>
          <w:sz w:val="24"/>
          <w:lang w:val="en-US" w:eastAsia="zh-CN"/>
        </w:rPr>
      </w:pPr>
      <w:bookmarkStart w:id="143" w:name="_Toc4323"/>
      <w:r>
        <w:rPr>
          <w:b/>
          <w:bCs/>
          <w:color w:val="auto"/>
          <w:sz w:val="24"/>
        </w:rPr>
        <w:t>1</w:t>
      </w:r>
      <w:r>
        <w:rPr>
          <w:rFonts w:hint="eastAsia"/>
          <w:b/>
          <w:bCs/>
          <w:color w:val="auto"/>
          <w:sz w:val="24"/>
          <w:lang w:val="en-US" w:eastAsia="zh-CN"/>
        </w:rPr>
        <w:t>0</w:t>
      </w:r>
      <w:bookmarkEnd w:id="143"/>
      <w:r>
        <w:rPr>
          <w:rFonts w:hint="eastAsia"/>
          <w:color w:val="auto"/>
          <w:sz w:val="24"/>
        </w:rPr>
        <w:t>《混凝土搅拌运输车》GB/T 26408</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sz w:val="24"/>
        </w:rPr>
      </w:pPr>
      <w:bookmarkStart w:id="144" w:name="_Toc3692"/>
      <w:r>
        <w:rPr>
          <w:rFonts w:hint="eastAsia"/>
          <w:b/>
          <w:bCs/>
          <w:color w:val="auto"/>
          <w:sz w:val="24"/>
          <w:lang w:val="en-US" w:eastAsia="zh-CN"/>
        </w:rPr>
        <w:t>11</w:t>
      </w:r>
      <w:bookmarkEnd w:id="144"/>
      <w:r>
        <w:rPr>
          <w:color w:val="auto"/>
          <w:sz w:val="24"/>
        </w:rPr>
        <w:t>《混凝土结构设计规范》GB 50010</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sz w:val="24"/>
        </w:rPr>
      </w:pPr>
      <w:bookmarkStart w:id="145" w:name="_Toc737"/>
      <w:r>
        <w:rPr>
          <w:rFonts w:hint="eastAsia"/>
          <w:b/>
          <w:bCs/>
          <w:color w:val="auto"/>
          <w:sz w:val="24"/>
          <w:lang w:val="en-US" w:eastAsia="zh-CN"/>
        </w:rPr>
        <w:t>12</w:t>
      </w:r>
      <w:bookmarkEnd w:id="145"/>
      <w:r>
        <w:rPr>
          <w:rFonts w:hint="eastAsia"/>
          <w:color w:val="auto"/>
          <w:sz w:val="24"/>
        </w:rPr>
        <w:t>《普通混凝土拌合物性能试验方法标准》GB/T 50080</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sz w:val="24"/>
          <w:lang w:val="en-US" w:eastAsia="zh-CN"/>
        </w:rPr>
      </w:pPr>
      <w:bookmarkStart w:id="146" w:name="_Toc32514"/>
      <w:r>
        <w:rPr>
          <w:b/>
          <w:bCs/>
          <w:color w:val="auto"/>
          <w:sz w:val="24"/>
        </w:rPr>
        <w:t>1</w:t>
      </w:r>
      <w:r>
        <w:rPr>
          <w:rFonts w:hint="eastAsia"/>
          <w:b/>
          <w:bCs/>
          <w:color w:val="auto"/>
          <w:sz w:val="24"/>
          <w:lang w:val="en-US" w:eastAsia="zh-CN"/>
        </w:rPr>
        <w:t>3</w:t>
      </w:r>
      <w:bookmarkEnd w:id="146"/>
      <w:r>
        <w:rPr>
          <w:rFonts w:hint="eastAsia"/>
          <w:color w:val="auto"/>
          <w:sz w:val="24"/>
        </w:rPr>
        <w:t>《普通混凝土</w:t>
      </w:r>
      <w:r>
        <w:rPr>
          <w:rFonts w:hint="eastAsia"/>
          <w:color w:val="auto"/>
          <w:sz w:val="24"/>
          <w:lang w:eastAsia="zh-CN"/>
        </w:rPr>
        <w:t>力学</w:t>
      </w:r>
      <w:r>
        <w:rPr>
          <w:rFonts w:hint="eastAsia"/>
          <w:color w:val="auto"/>
          <w:sz w:val="24"/>
        </w:rPr>
        <w:t>性能试验方法标准》GB/T 5008</w:t>
      </w:r>
      <w:r>
        <w:rPr>
          <w:rFonts w:hint="eastAsia"/>
          <w:color w:val="auto"/>
          <w:sz w:val="24"/>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47" w:name="_Toc23570"/>
      <w:r>
        <w:rPr>
          <w:rFonts w:hint="eastAsia"/>
          <w:b/>
          <w:bCs/>
          <w:color w:val="auto"/>
          <w:sz w:val="24"/>
          <w:lang w:val="en-US" w:eastAsia="zh-CN"/>
        </w:rPr>
        <w:t>14</w:t>
      </w:r>
      <w:bookmarkEnd w:id="147"/>
      <w:r>
        <w:rPr>
          <w:rFonts w:hint="eastAsia"/>
          <w:color w:val="auto"/>
          <w:sz w:val="24"/>
        </w:rPr>
        <w:t>《普通混凝土长期性能和耐久性能试验方法标准》GB/T 50082</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48" w:name="_Toc30391"/>
      <w:r>
        <w:rPr>
          <w:rFonts w:hint="eastAsia"/>
          <w:b/>
          <w:bCs/>
          <w:color w:val="auto"/>
          <w:sz w:val="24"/>
          <w:lang w:val="en-US" w:eastAsia="zh-CN"/>
        </w:rPr>
        <w:t>15</w:t>
      </w:r>
      <w:bookmarkEnd w:id="148"/>
      <w:bookmarkStart w:id="149" w:name="_Toc24250"/>
      <w:r>
        <w:rPr>
          <w:color w:val="auto"/>
          <w:sz w:val="24"/>
        </w:rPr>
        <w:t>《混凝土强度检验评定标准》GB/T 50107</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r>
        <w:rPr>
          <w:rFonts w:hint="eastAsia"/>
          <w:b/>
          <w:bCs/>
          <w:color w:val="auto"/>
          <w:sz w:val="24"/>
          <w:lang w:val="en-US" w:eastAsia="zh-CN"/>
        </w:rPr>
        <w:t>16</w:t>
      </w:r>
      <w:bookmarkEnd w:id="149"/>
      <w:bookmarkStart w:id="150" w:name="_Toc22155"/>
      <w:r>
        <w:rPr>
          <w:color w:val="auto"/>
          <w:sz w:val="24"/>
        </w:rPr>
        <w:t>《混凝土外加剂应用技术规范》GB 50119</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r>
        <w:rPr>
          <w:rFonts w:hint="eastAsia"/>
          <w:b/>
          <w:bCs/>
          <w:color w:val="auto"/>
          <w:sz w:val="24"/>
          <w:lang w:val="en-US" w:eastAsia="zh-CN"/>
        </w:rPr>
        <w:t>17</w:t>
      </w:r>
      <w:bookmarkEnd w:id="150"/>
      <w:bookmarkStart w:id="151" w:name="_Toc6267"/>
      <w:r>
        <w:rPr>
          <w:color w:val="auto"/>
          <w:sz w:val="24"/>
        </w:rPr>
        <w:t>《混凝土质量控制标准》GB 50164</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r>
        <w:rPr>
          <w:rFonts w:hint="eastAsia"/>
          <w:b/>
          <w:bCs/>
          <w:color w:val="auto"/>
          <w:sz w:val="24"/>
          <w:lang w:val="en-US" w:eastAsia="zh-CN"/>
        </w:rPr>
        <w:t>18</w:t>
      </w:r>
      <w:bookmarkEnd w:id="151"/>
      <w:bookmarkStart w:id="152" w:name="_Toc27568"/>
      <w:r>
        <w:rPr>
          <w:color w:val="auto"/>
          <w:sz w:val="24"/>
        </w:rPr>
        <w:t>《混凝土结构工程施工质量验收规范》GB 50204</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
          <w:bCs/>
          <w:color w:val="auto"/>
          <w:sz w:val="24"/>
          <w:lang w:val="en-US" w:eastAsia="zh-CN"/>
        </w:rPr>
      </w:pPr>
      <w:r>
        <w:rPr>
          <w:rFonts w:hint="eastAsia"/>
          <w:b/>
          <w:bCs/>
          <w:color w:val="auto"/>
          <w:sz w:val="24"/>
          <w:lang w:val="en-US" w:eastAsia="zh-CN"/>
        </w:rPr>
        <w:t>19</w:t>
      </w:r>
      <w:r>
        <w:rPr>
          <w:color w:val="auto"/>
          <w:sz w:val="24"/>
        </w:rPr>
        <w:t xml:space="preserve">《混凝土结构耐久性设计标准》GB/T 50476 </w:t>
      </w:r>
    </w:p>
    <w:bookmarkEnd w:id="152"/>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53" w:name="_Toc10099"/>
      <w:r>
        <w:rPr>
          <w:rFonts w:hint="eastAsia"/>
          <w:b/>
          <w:bCs/>
          <w:color w:val="auto"/>
          <w:sz w:val="24"/>
          <w:lang w:val="en-US" w:eastAsia="zh-CN"/>
        </w:rPr>
        <w:t>20</w:t>
      </w:r>
      <w:bookmarkEnd w:id="153"/>
      <w:bookmarkStart w:id="154" w:name="_Toc4793"/>
      <w:r>
        <w:rPr>
          <w:color w:val="auto"/>
          <w:sz w:val="24"/>
        </w:rPr>
        <w:t>《</w:t>
      </w:r>
      <w:r>
        <w:rPr>
          <w:rFonts w:hint="eastAsia"/>
          <w:color w:val="auto"/>
          <w:sz w:val="24"/>
          <w:lang w:eastAsia="zh-CN"/>
        </w:rPr>
        <w:t>大体积</w:t>
      </w:r>
      <w:r>
        <w:rPr>
          <w:color w:val="auto"/>
          <w:sz w:val="24"/>
        </w:rPr>
        <w:t>混凝土</w:t>
      </w:r>
      <w:r>
        <w:rPr>
          <w:rFonts w:hint="eastAsia"/>
          <w:color w:val="auto"/>
          <w:sz w:val="24"/>
          <w:lang w:eastAsia="zh-CN"/>
        </w:rPr>
        <w:t>施工规范</w:t>
      </w:r>
      <w:r>
        <w:rPr>
          <w:color w:val="auto"/>
          <w:sz w:val="24"/>
        </w:rPr>
        <w:t>》GB/T 504</w:t>
      </w:r>
      <w:r>
        <w:rPr>
          <w:rFonts w:hint="eastAsia"/>
          <w:color w:val="auto"/>
          <w:sz w:val="24"/>
          <w:lang w:val="en-US" w:eastAsia="zh-CN"/>
        </w:rPr>
        <w:t>9</w:t>
      </w:r>
      <w:r>
        <w:rPr>
          <w:color w:val="auto"/>
          <w:sz w:val="24"/>
        </w:rPr>
        <w:t xml:space="preserve">6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r>
        <w:rPr>
          <w:rFonts w:hint="eastAsia"/>
          <w:b/>
          <w:bCs/>
          <w:color w:val="auto"/>
          <w:sz w:val="24"/>
          <w:lang w:val="en-US" w:eastAsia="zh-CN"/>
        </w:rPr>
        <w:t>21</w:t>
      </w:r>
      <w:bookmarkEnd w:id="154"/>
      <w:bookmarkStart w:id="155" w:name="_Toc31015"/>
      <w:r>
        <w:rPr>
          <w:color w:val="auto"/>
          <w:sz w:val="24"/>
        </w:rPr>
        <w:t>《混凝土结构工程施工规范》GB 50666</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r>
        <w:rPr>
          <w:rFonts w:hint="eastAsia"/>
          <w:b/>
          <w:bCs/>
          <w:color w:val="auto"/>
          <w:sz w:val="24"/>
        </w:rPr>
        <w:t>2</w:t>
      </w:r>
      <w:r>
        <w:rPr>
          <w:rFonts w:hint="eastAsia"/>
          <w:b/>
          <w:bCs/>
          <w:color w:val="auto"/>
          <w:sz w:val="24"/>
          <w:lang w:val="en-US" w:eastAsia="zh-CN"/>
        </w:rPr>
        <w:t>2</w:t>
      </w:r>
      <w:bookmarkEnd w:id="155"/>
      <w:r>
        <w:rPr>
          <w:rFonts w:hint="eastAsia"/>
          <w:color w:val="auto"/>
          <w:sz w:val="24"/>
        </w:rPr>
        <w:t>《混凝土泵送施工技术规程》JGJ/T 10</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56" w:name="_Toc334"/>
      <w:r>
        <w:rPr>
          <w:rFonts w:hint="eastAsia"/>
          <w:b/>
          <w:bCs/>
          <w:color w:val="auto"/>
          <w:sz w:val="24"/>
        </w:rPr>
        <w:t>2</w:t>
      </w:r>
      <w:r>
        <w:rPr>
          <w:rFonts w:hint="eastAsia"/>
          <w:b/>
          <w:bCs/>
          <w:color w:val="auto"/>
          <w:sz w:val="24"/>
          <w:lang w:val="en-US" w:eastAsia="zh-CN"/>
        </w:rPr>
        <w:t>3</w:t>
      </w:r>
      <w:bookmarkEnd w:id="156"/>
      <w:r>
        <w:rPr>
          <w:color w:val="auto"/>
          <w:sz w:val="24"/>
        </w:rPr>
        <w:t>《普通混凝土用砂、石质量及检验方法标准》JGJ 52</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57" w:name="_Toc23028"/>
      <w:r>
        <w:rPr>
          <w:rFonts w:hint="eastAsia"/>
          <w:b/>
          <w:bCs/>
          <w:color w:val="auto"/>
          <w:sz w:val="24"/>
          <w:lang w:val="en-US" w:eastAsia="zh-CN"/>
        </w:rPr>
        <w:t>24</w:t>
      </w:r>
      <w:bookmarkEnd w:id="157"/>
      <w:bookmarkStart w:id="158" w:name="_Toc21091"/>
      <w:r>
        <w:rPr>
          <w:rFonts w:hint="eastAsia"/>
          <w:color w:val="auto"/>
          <w:sz w:val="24"/>
        </w:rPr>
        <w:t>《普通混凝土配合比设计规程》JGJ 55</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sz w:val="24"/>
          <w:lang w:val="en-US" w:eastAsia="zh-CN"/>
        </w:rPr>
      </w:pPr>
      <w:r>
        <w:rPr>
          <w:rFonts w:hint="eastAsia"/>
          <w:b/>
          <w:bCs/>
          <w:color w:val="auto"/>
          <w:sz w:val="24"/>
        </w:rPr>
        <w:t>2</w:t>
      </w:r>
      <w:r>
        <w:rPr>
          <w:rFonts w:hint="eastAsia"/>
          <w:b/>
          <w:bCs/>
          <w:color w:val="auto"/>
          <w:sz w:val="24"/>
          <w:lang w:val="en-US" w:eastAsia="zh-CN"/>
        </w:rPr>
        <w:t>5</w:t>
      </w:r>
      <w:bookmarkEnd w:id="158"/>
      <w:r>
        <w:rPr>
          <w:color w:val="auto"/>
          <w:sz w:val="24"/>
        </w:rPr>
        <w:t>《混凝土用水标准》JGJ 63</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bookmarkStart w:id="159" w:name="_Toc8415"/>
      <w:r>
        <w:rPr>
          <w:rFonts w:hint="eastAsia"/>
          <w:b/>
          <w:bCs/>
          <w:color w:val="auto"/>
          <w:sz w:val="24"/>
          <w:lang w:val="en-US" w:eastAsia="zh-CN"/>
        </w:rPr>
        <w:t>26</w:t>
      </w:r>
      <w:bookmarkEnd w:id="159"/>
      <w:r>
        <w:rPr>
          <w:rFonts w:hint="eastAsia"/>
          <w:color w:val="auto"/>
          <w:sz w:val="24"/>
        </w:rPr>
        <w:t>《建筑工程冬期施工规程》JGJ/T 104</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
          <w:bCs/>
          <w:color w:val="auto"/>
          <w:sz w:val="24"/>
          <w:lang w:val="en-US" w:eastAsia="zh-CN"/>
        </w:rPr>
      </w:pPr>
      <w:bookmarkStart w:id="160" w:name="_Toc4421"/>
      <w:r>
        <w:rPr>
          <w:rFonts w:hint="eastAsia"/>
          <w:b/>
          <w:bCs/>
          <w:color w:val="auto"/>
          <w:sz w:val="24"/>
          <w:lang w:val="en-US" w:eastAsia="zh-CN"/>
        </w:rPr>
        <w:t>27</w:t>
      </w:r>
      <w:bookmarkEnd w:id="160"/>
      <w:bookmarkStart w:id="161" w:name="_Toc25329"/>
      <w:r>
        <w:rPr>
          <w:rFonts w:hint="eastAsia"/>
          <w:color w:val="auto"/>
          <w:sz w:val="24"/>
        </w:rPr>
        <w:t>《</w:t>
      </w:r>
      <w:r>
        <w:rPr>
          <w:rFonts w:hint="eastAsia"/>
          <w:color w:val="auto"/>
          <w:sz w:val="24"/>
          <w:lang w:eastAsia="zh-CN"/>
        </w:rPr>
        <w:t>混凝土耐久性检验评定标准</w:t>
      </w:r>
      <w:r>
        <w:rPr>
          <w:rFonts w:hint="eastAsia"/>
          <w:color w:val="auto"/>
          <w:sz w:val="24"/>
        </w:rPr>
        <w:t>》JGJ/T 19</w:t>
      </w:r>
      <w:r>
        <w:rPr>
          <w:rFonts w:hint="eastAsia"/>
          <w:color w:val="auto"/>
          <w:sz w:val="24"/>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sz w:val="24"/>
        </w:rPr>
      </w:pPr>
      <w:r>
        <w:rPr>
          <w:rFonts w:hint="eastAsia"/>
          <w:b/>
          <w:bCs/>
          <w:color w:val="auto"/>
          <w:sz w:val="24"/>
          <w:lang w:val="en-US" w:eastAsia="zh-CN"/>
        </w:rPr>
        <w:t>28</w:t>
      </w:r>
      <w:bookmarkEnd w:id="161"/>
      <w:r>
        <w:rPr>
          <w:rFonts w:hint="eastAsia"/>
          <w:color w:val="auto"/>
          <w:sz w:val="24"/>
        </w:rPr>
        <w:t>《预拌混凝土绿色生产及管理技术规程》JGJ/T 328</w:t>
      </w: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pPr>
    </w:p>
    <w:p>
      <w:pPr>
        <w:spacing w:line="360" w:lineRule="auto"/>
        <w:rPr>
          <w:color w:val="auto"/>
          <w:kern w:val="0"/>
          <w:sz w:val="24"/>
        </w:rPr>
        <w:sectPr>
          <w:pgSz w:w="11906" w:h="16838"/>
          <w:pgMar w:top="1440" w:right="1800" w:bottom="1440" w:left="1800" w:header="851" w:footer="992" w:gutter="0"/>
          <w:pgNumType w:fmt="decimal"/>
          <w:cols w:space="720" w:num="1"/>
          <w:docGrid w:type="lines" w:linePitch="312" w:charSpace="0"/>
        </w:sect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adjustRightInd w:val="0"/>
        <w:snapToGrid w:val="0"/>
        <w:spacing w:line="360" w:lineRule="auto"/>
        <w:jc w:val="both"/>
        <w:rPr>
          <w:rFonts w:hint="eastAsia"/>
          <w:b/>
          <w:color w:val="auto"/>
          <w:sz w:val="28"/>
          <w:szCs w:val="28"/>
        </w:rPr>
      </w:pPr>
    </w:p>
    <w:p>
      <w:pPr>
        <w:adjustRightInd w:val="0"/>
        <w:snapToGrid w:val="0"/>
        <w:spacing w:line="360" w:lineRule="auto"/>
        <w:jc w:val="center"/>
        <w:rPr>
          <w:rFonts w:hint="eastAsia"/>
          <w:b/>
          <w:color w:val="auto"/>
          <w:sz w:val="28"/>
          <w:szCs w:val="28"/>
        </w:rPr>
      </w:pPr>
    </w:p>
    <w:p>
      <w:pPr>
        <w:adjustRightInd w:val="0"/>
        <w:snapToGrid w:val="0"/>
        <w:spacing w:line="360" w:lineRule="auto"/>
        <w:jc w:val="center"/>
        <w:outlineLvl w:val="0"/>
        <w:rPr>
          <w:b/>
          <w:color w:val="auto"/>
          <w:sz w:val="32"/>
          <w:szCs w:val="32"/>
        </w:rPr>
      </w:pPr>
      <w:bookmarkStart w:id="162" w:name="_Toc24957"/>
      <w:bookmarkStart w:id="163" w:name="_Toc8562"/>
      <w:bookmarkStart w:id="164" w:name="_Toc6440"/>
      <w:bookmarkStart w:id="165" w:name="_Toc14859"/>
      <w:r>
        <w:rPr>
          <w:rFonts w:hint="eastAsia"/>
          <w:b/>
          <w:color w:val="auto"/>
          <w:sz w:val="32"/>
          <w:szCs w:val="32"/>
        </w:rPr>
        <w:t>安徽省土木建筑学会团体</w:t>
      </w:r>
      <w:r>
        <w:rPr>
          <w:b/>
          <w:color w:val="auto"/>
          <w:sz w:val="32"/>
          <w:szCs w:val="32"/>
        </w:rPr>
        <w:t>标准</w:t>
      </w:r>
      <w:bookmarkEnd w:id="162"/>
      <w:bookmarkEnd w:id="163"/>
      <w:bookmarkEnd w:id="164"/>
      <w:bookmarkEnd w:id="165"/>
    </w:p>
    <w:p>
      <w:pPr>
        <w:pStyle w:val="10"/>
        <w:rPr>
          <w:b/>
          <w:color w:val="auto"/>
          <w:sz w:val="28"/>
          <w:szCs w:val="28"/>
        </w:rPr>
      </w:pPr>
      <w:r>
        <w:rPr>
          <w:rFonts w:hint="eastAsia"/>
          <w:color w:val="auto"/>
        </w:rPr>
        <w:t xml:space="preserve">                                                  </w:t>
      </w:r>
    </w:p>
    <w:p>
      <w:pPr>
        <w:adjustRightInd w:val="0"/>
        <w:snapToGrid w:val="0"/>
        <w:spacing w:line="360" w:lineRule="auto"/>
        <w:jc w:val="center"/>
        <w:rPr>
          <w:rFonts w:hint="eastAsia"/>
          <w:b/>
          <w:color w:val="auto"/>
          <w:sz w:val="28"/>
          <w:szCs w:val="28"/>
        </w:rPr>
      </w:pPr>
    </w:p>
    <w:p>
      <w:pPr>
        <w:adjustRightInd w:val="0"/>
        <w:snapToGrid w:val="0"/>
        <w:spacing w:line="360" w:lineRule="auto"/>
        <w:rPr>
          <w:color w:val="auto"/>
          <w:sz w:val="24"/>
        </w:rPr>
      </w:pPr>
    </w:p>
    <w:p>
      <w:pPr>
        <w:adjustRightInd w:val="0"/>
        <w:snapToGrid w:val="0"/>
        <w:spacing w:line="360" w:lineRule="auto"/>
        <w:jc w:val="center"/>
        <w:outlineLvl w:val="0"/>
        <w:rPr>
          <w:rFonts w:ascii="黑体" w:hAnsi="黑体" w:eastAsia="黑体" w:cs="宋体"/>
          <w:b/>
          <w:bCs/>
          <w:color w:val="auto"/>
          <w:sz w:val="44"/>
          <w:szCs w:val="44"/>
        </w:rPr>
      </w:pPr>
      <w:bookmarkStart w:id="166" w:name="_Toc24396"/>
      <w:bookmarkStart w:id="167" w:name="_Toc30810"/>
      <w:bookmarkStart w:id="168" w:name="_Toc14305"/>
      <w:bookmarkStart w:id="169" w:name="_Toc29380"/>
      <w:r>
        <w:rPr>
          <w:rFonts w:hint="eastAsia" w:ascii="黑体" w:hAnsi="黑体" w:eastAsia="黑体" w:cs="宋体"/>
          <w:b/>
          <w:bCs/>
          <w:color w:val="auto"/>
          <w:sz w:val="44"/>
          <w:szCs w:val="44"/>
        </w:rPr>
        <w:t>特细砂混凝土应用技术规程</w:t>
      </w:r>
      <w:bookmarkEnd w:id="166"/>
      <w:bookmarkEnd w:id="167"/>
      <w:bookmarkEnd w:id="168"/>
      <w:bookmarkEnd w:id="169"/>
    </w:p>
    <w:p>
      <w:pPr>
        <w:jc w:val="center"/>
        <w:rPr>
          <w:rFonts w:hint="eastAsia" w:eastAsia="宋体"/>
          <w:b/>
          <w:color w:val="auto"/>
          <w:sz w:val="40"/>
          <w:szCs w:val="40"/>
          <w:lang w:eastAsia="zh-CN"/>
        </w:rPr>
      </w:pPr>
      <w:r>
        <w:rPr>
          <w:rFonts w:hint="eastAsia"/>
          <w:b/>
          <w:color w:val="auto"/>
          <w:sz w:val="28"/>
          <w:szCs w:val="28"/>
        </w:rPr>
        <w:t xml:space="preserve">  </w:t>
      </w:r>
      <w:r>
        <w:rPr>
          <w:rFonts w:hint="eastAsia"/>
          <w:b/>
          <w:color w:val="auto"/>
          <w:sz w:val="40"/>
          <w:szCs w:val="40"/>
        </w:rPr>
        <w:t xml:space="preserve"> </w:t>
      </w:r>
      <w:r>
        <w:rPr>
          <w:rFonts w:hint="eastAsia"/>
          <w:color w:val="auto"/>
          <w:sz w:val="28"/>
          <w:szCs w:val="36"/>
        </w:rPr>
        <w:t>T/CASA</w:t>
      </w:r>
      <w:r>
        <w:rPr>
          <w:color w:val="auto"/>
          <w:sz w:val="28"/>
          <w:szCs w:val="36"/>
        </w:rPr>
        <w:t xml:space="preserve"> -</w:t>
      </w:r>
      <w:r>
        <w:rPr>
          <w:rFonts w:hint="eastAsia"/>
          <w:color w:val="auto"/>
          <w:sz w:val="28"/>
          <w:szCs w:val="36"/>
        </w:rPr>
        <w:t>XXX-</w:t>
      </w:r>
      <w:r>
        <w:rPr>
          <w:color w:val="auto"/>
          <w:sz w:val="28"/>
          <w:szCs w:val="36"/>
        </w:rPr>
        <w:t>2</w:t>
      </w:r>
      <w:r>
        <w:rPr>
          <w:rFonts w:hint="eastAsia"/>
          <w:color w:val="auto"/>
          <w:sz w:val="28"/>
          <w:szCs w:val="36"/>
        </w:rPr>
        <w:t>02</w:t>
      </w:r>
      <w:r>
        <w:rPr>
          <w:rFonts w:hint="eastAsia"/>
          <w:color w:val="auto"/>
          <w:sz w:val="28"/>
          <w:szCs w:val="36"/>
          <w:lang w:val="en-US" w:eastAsia="zh-CN"/>
        </w:rPr>
        <w:t>2</w:t>
      </w:r>
    </w:p>
    <w:p>
      <w:pPr>
        <w:jc w:val="center"/>
        <w:rPr>
          <w:b/>
          <w:color w:val="auto"/>
          <w:sz w:val="28"/>
          <w:szCs w:val="28"/>
        </w:rPr>
      </w:pPr>
    </w:p>
    <w:p>
      <w:pPr>
        <w:jc w:val="center"/>
        <w:rPr>
          <w:b/>
          <w:color w:val="auto"/>
          <w:sz w:val="28"/>
          <w:szCs w:val="28"/>
        </w:rPr>
      </w:pPr>
    </w:p>
    <w:p>
      <w:pPr>
        <w:jc w:val="center"/>
        <w:rPr>
          <w:b/>
          <w:color w:val="auto"/>
          <w:sz w:val="32"/>
          <w:szCs w:val="32"/>
        </w:rPr>
      </w:pPr>
    </w:p>
    <w:p>
      <w:pPr>
        <w:adjustRightInd w:val="0"/>
        <w:snapToGrid w:val="0"/>
        <w:spacing w:line="360" w:lineRule="auto"/>
        <w:jc w:val="center"/>
        <w:outlineLvl w:val="0"/>
        <w:rPr>
          <w:rFonts w:hint="eastAsia" w:eastAsia="宋体" w:cs="Times New Roman"/>
          <w:b/>
          <w:color w:val="auto"/>
          <w:sz w:val="44"/>
          <w:szCs w:val="44"/>
          <w:lang w:eastAsia="zh-CN"/>
        </w:rPr>
      </w:pPr>
      <w:r>
        <w:rPr>
          <w:rFonts w:hint="eastAsia" w:eastAsia="宋体" w:cs="Times New Roman"/>
          <w:b/>
          <w:color w:val="auto"/>
          <w:sz w:val="44"/>
          <w:szCs w:val="44"/>
          <w:lang w:val="en-US" w:eastAsia="zh-CN"/>
        </w:rPr>
        <w:t xml:space="preserve"> </w:t>
      </w:r>
      <w:bookmarkStart w:id="170" w:name="_Toc19582"/>
      <w:bookmarkStart w:id="171" w:name="_Toc25737"/>
      <w:r>
        <w:rPr>
          <w:rFonts w:hint="eastAsia" w:eastAsia="宋体" w:cs="Times New Roman"/>
          <w:b/>
          <w:color w:val="auto"/>
          <w:sz w:val="44"/>
          <w:szCs w:val="44"/>
          <w:lang w:eastAsia="zh-CN"/>
        </w:rPr>
        <w:t>条</w:t>
      </w:r>
      <w:r>
        <w:rPr>
          <w:rFonts w:hint="eastAsia" w:eastAsia="宋体" w:cs="Times New Roman"/>
          <w:b/>
          <w:color w:val="auto"/>
          <w:sz w:val="44"/>
          <w:szCs w:val="44"/>
          <w:lang w:val="en-US" w:eastAsia="zh-CN"/>
        </w:rPr>
        <w:t xml:space="preserve"> </w:t>
      </w:r>
      <w:r>
        <w:rPr>
          <w:rFonts w:hint="eastAsia" w:eastAsia="宋体" w:cs="Times New Roman"/>
          <w:b/>
          <w:color w:val="auto"/>
          <w:sz w:val="44"/>
          <w:szCs w:val="44"/>
          <w:lang w:eastAsia="zh-CN"/>
        </w:rPr>
        <w:t>文</w:t>
      </w:r>
      <w:r>
        <w:rPr>
          <w:rFonts w:hint="eastAsia" w:eastAsia="宋体" w:cs="Times New Roman"/>
          <w:b/>
          <w:color w:val="auto"/>
          <w:sz w:val="44"/>
          <w:szCs w:val="44"/>
          <w:lang w:val="en-US" w:eastAsia="zh-CN"/>
        </w:rPr>
        <w:t xml:space="preserve"> </w:t>
      </w:r>
      <w:r>
        <w:rPr>
          <w:rFonts w:hint="eastAsia" w:eastAsia="宋体" w:cs="Times New Roman"/>
          <w:b/>
          <w:color w:val="auto"/>
          <w:sz w:val="44"/>
          <w:szCs w:val="44"/>
          <w:lang w:eastAsia="zh-CN"/>
        </w:rPr>
        <w:t>说</w:t>
      </w:r>
      <w:r>
        <w:rPr>
          <w:rFonts w:hint="eastAsia" w:eastAsia="宋体" w:cs="Times New Roman"/>
          <w:b/>
          <w:color w:val="auto"/>
          <w:sz w:val="44"/>
          <w:szCs w:val="44"/>
          <w:lang w:val="en-US" w:eastAsia="zh-CN"/>
        </w:rPr>
        <w:t xml:space="preserve"> </w:t>
      </w:r>
      <w:r>
        <w:rPr>
          <w:rFonts w:hint="eastAsia" w:eastAsia="宋体" w:cs="Times New Roman"/>
          <w:b/>
          <w:color w:val="auto"/>
          <w:sz w:val="44"/>
          <w:szCs w:val="44"/>
          <w:lang w:eastAsia="zh-CN"/>
        </w:rPr>
        <w:t>明</w:t>
      </w:r>
      <w:bookmarkEnd w:id="170"/>
      <w:bookmarkEnd w:id="171"/>
    </w:p>
    <w:p>
      <w:pPr>
        <w:adjustRightInd w:val="0"/>
        <w:snapToGrid w:val="0"/>
        <w:spacing w:line="360" w:lineRule="auto"/>
        <w:rPr>
          <w:color w:val="auto"/>
          <w:sz w:val="24"/>
        </w:rPr>
      </w:pPr>
    </w:p>
    <w:p>
      <w:pPr>
        <w:adjustRightInd w:val="0"/>
        <w:snapToGrid w:val="0"/>
        <w:spacing w:line="360" w:lineRule="auto"/>
        <w:jc w:val="center"/>
        <w:rPr>
          <w:color w:val="auto"/>
          <w:sz w:val="24"/>
        </w:rPr>
      </w:pPr>
      <w:r>
        <w:rPr>
          <w:rFonts w:hint="eastAsia"/>
          <w:color w:val="auto"/>
          <w:sz w:val="24"/>
        </w:rPr>
        <w:t xml:space="preserve"> </w:t>
      </w: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sdt>
      <w:sdtPr>
        <w:rPr>
          <w:rFonts w:ascii="宋体" w:hAnsi="宋体" w:eastAsia="宋体" w:cs="Times New Roman"/>
          <w:color w:val="auto"/>
          <w:kern w:val="2"/>
          <w:sz w:val="21"/>
          <w:szCs w:val="24"/>
          <w:lang w:val="en-US" w:eastAsia="zh-CN" w:bidi="ar-SA"/>
        </w:rPr>
        <w:id w:val="147471123"/>
        <w15:color w:val="DBDBDB"/>
        <w:docPartObj>
          <w:docPartGallery w:val="Table of Contents"/>
          <w:docPartUnique/>
        </w:docPartObj>
      </w:sdtPr>
      <w:sdtEndPr>
        <w:rPr>
          <w:rFonts w:hint="eastAsia" w:ascii="宋体" w:hAnsi="宋体" w:eastAsia="宋体" w:cs="Times New Roman"/>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b/>
              <w:bCs/>
              <w:color w:val="auto"/>
              <w:sz w:val="32"/>
              <w:szCs w:val="40"/>
              <w:lang w:val="en-US" w:eastAsia="zh-CN"/>
            </w:rPr>
            <w:t xml:space="preserve">  </w:t>
          </w:r>
          <w:r>
            <w:rPr>
              <w:rFonts w:ascii="宋体" w:hAnsi="宋体" w:eastAsia="宋体"/>
              <w:b/>
              <w:bCs/>
              <w:color w:val="auto"/>
              <w:sz w:val="32"/>
              <w:szCs w:val="40"/>
            </w:rPr>
            <w:t>录</w:t>
          </w:r>
        </w:p>
        <w:p>
          <w:pPr>
            <w:pStyle w:val="9"/>
            <w:tabs>
              <w:tab w:val="right" w:leader="dot" w:pos="8306"/>
            </w:tabs>
            <w:rPr>
              <w:color w:val="auto"/>
            </w:rPr>
          </w:pPr>
          <w:r>
            <w:rPr>
              <w:rFonts w:hint="eastAsia" w:ascii="宋体" w:hAnsi="宋体"/>
              <w:color w:val="auto"/>
              <w:sz w:val="24"/>
            </w:rPr>
            <w:fldChar w:fldCharType="begin"/>
          </w:r>
          <w:r>
            <w:rPr>
              <w:rFonts w:hint="eastAsia" w:ascii="宋体" w:hAnsi="宋体"/>
              <w:color w:val="auto"/>
              <w:sz w:val="24"/>
            </w:rPr>
            <w:instrText xml:space="preserve">TOC \o "1-2" \h \u </w:instrText>
          </w:r>
          <w:r>
            <w:rPr>
              <w:rFonts w:hint="eastAsia" w:ascii="宋体" w:hAnsi="宋体"/>
              <w:color w:val="auto"/>
              <w:sz w:val="24"/>
            </w:rPr>
            <w:fldChar w:fldCharType="separate"/>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_Toc15370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 总  则</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_Toc15370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_Toc12979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 基本规定</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_Toc12979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29</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_Toc31253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 xml:space="preserve"> 特细砂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_Toc31253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pos="3200"/>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_Toc16303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质量要求</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_Toc16303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pos="3200"/>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_Toc1523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 xml:space="preserve">2 </w:t>
          </w:r>
          <w:r>
            <w:rPr>
              <w:rFonts w:hint="default" w:ascii="Times New Roman" w:hAnsi="Times New Roman" w:cs="Times New Roman"/>
              <w:color w:val="auto"/>
              <w:sz w:val="24"/>
              <w:szCs w:val="24"/>
              <w:lang w:eastAsia="zh-CN"/>
            </w:rPr>
            <w:t>试验方法</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_Toc1523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_Toc6435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 xml:space="preserve"> 混凝土性能</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_Toc6435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pos="3200"/>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_Toc27660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拌合物技术要求</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_Toc27660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_Toc21140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5.2 力学性能..............................................................................................</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_Toc27660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5.3 长期性能和耐久性能................................................................................</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_Toc27660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_Toc13088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eastAsia="zh-CN"/>
            </w:rPr>
            <w:t>6 配合比</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_Toc13088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pos="3200"/>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_Toc32574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eastAsia="zh-CN"/>
            </w:rPr>
            <w:t>6.1</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eastAsia="zh-CN"/>
            </w:rPr>
            <w:t>一般规定</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_Toc32574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_Toc4880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eastAsia="zh-CN"/>
            </w:rPr>
            <w:t>6.2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塑性特细砂混凝土</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_Toc4880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pos="3200"/>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_Toc27337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eastAsia="zh-CN"/>
            </w:rPr>
            <w:t>6.3</w:t>
          </w:r>
          <w:r>
            <w:rPr>
              <w:rFonts w:hint="default" w:ascii="Times New Roman" w:hAnsi="Times New Roman" w:cs="Times New Roman"/>
              <w:color w:val="auto"/>
              <w:sz w:val="24"/>
              <w:szCs w:val="24"/>
              <w:lang w:eastAsia="zh-CN"/>
            </w:rPr>
            <w:tab/>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流动性和大流动性特细砂混凝土</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_Toc27337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_Toc30465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  生产与施工</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_Toc30465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_Toc29020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eastAsia="zh-CN"/>
            </w:rPr>
            <w:t>7.1 一般规定</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_Toc29020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_Toc22964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7.2 混凝土生产</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_Toc22964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_Toc15650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7.3 混凝土施工</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_Toc15650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_Toc5480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eastAsia="zh-CN"/>
            </w:rPr>
            <w:t xml:space="preserve"> 质量检验与验收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_Toc5480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pos="3200"/>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_Toc15636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原材料质量检验</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_Toc15636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_Toc19460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8.2 拌合物性能检验</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_Toc19460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_Toc1805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 xml:space="preserve"> 力学性能检验</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_Toc1805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_Toc29018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8.4 长</w:t>
          </w:r>
          <w:r>
            <w:rPr>
              <w:rFonts w:hint="default" w:ascii="Times New Roman" w:hAnsi="Times New Roman" w:cs="Times New Roman"/>
              <w:color w:val="auto"/>
              <w:sz w:val="24"/>
              <w:szCs w:val="24"/>
              <w:lang w:eastAsia="zh-CN"/>
            </w:rPr>
            <w:t>期</w:t>
          </w:r>
          <w:r>
            <w:rPr>
              <w:rFonts w:hint="default" w:ascii="Times New Roman" w:hAnsi="Times New Roman" w:cs="Times New Roman"/>
              <w:color w:val="auto"/>
              <w:sz w:val="24"/>
              <w:szCs w:val="24"/>
            </w:rPr>
            <w:t>性能和耐久性能检验</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_Toc29018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_Toc10089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8.5 混凝土工程验收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_Toc10089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5"/>
            <w:tabs>
              <w:tab w:val="right" w:leader="dot" w:pos="8306"/>
            </w:tabs>
            <w:spacing w:line="240" w:lineRule="auto"/>
            <w:rPr>
              <w:color w:val="auto"/>
            </w:rPr>
          </w:pPr>
          <w:r>
            <w:rPr>
              <w:rFonts w:hint="eastAsia" w:ascii="宋体" w:hAnsi="宋体"/>
              <w:color w:val="auto"/>
            </w:rPr>
            <w:fldChar w:fldCharType="end"/>
          </w:r>
        </w:p>
      </w:sdtContent>
    </w:sdt>
    <w:p>
      <w:pPr>
        <w:pStyle w:val="2"/>
        <w:keepNext/>
        <w:keepLines/>
        <w:pageBreakBefore w:val="0"/>
        <w:widowControl w:val="0"/>
        <w:kinsoku/>
        <w:wordWrap/>
        <w:overflowPunct/>
        <w:topLinePunct w:val="0"/>
        <w:autoSpaceDE/>
        <w:autoSpaceDN/>
        <w:bidi w:val="0"/>
        <w:adjustRightInd/>
        <w:snapToGrid/>
        <w:textAlignment w:val="auto"/>
        <w:rPr>
          <w:color w:val="auto"/>
        </w:rPr>
        <w:sectPr>
          <w:footerReference r:id="rId11" w:type="default"/>
          <w:pgSz w:w="11906" w:h="16838"/>
          <w:pgMar w:top="1440" w:right="1800" w:bottom="1440" w:left="1800" w:header="851" w:footer="992" w:gutter="0"/>
          <w:pgNumType w:fmt="decimal"/>
          <w:cols w:space="720" w:num="1"/>
          <w:docGrid w:type="lines" w:linePitch="312" w:charSpace="0"/>
        </w:sectPr>
      </w:pPr>
      <w:bookmarkStart w:id="172" w:name="_Toc26168"/>
    </w:p>
    <w:p>
      <w:pPr>
        <w:pStyle w:val="2"/>
        <w:keepNext/>
        <w:keepLines/>
        <w:pageBreakBefore w:val="0"/>
        <w:widowControl w:val="0"/>
        <w:kinsoku/>
        <w:wordWrap/>
        <w:overflowPunct/>
        <w:topLinePunct w:val="0"/>
        <w:autoSpaceDE/>
        <w:autoSpaceDN/>
        <w:bidi w:val="0"/>
        <w:adjustRightInd/>
        <w:snapToGrid/>
        <w:textAlignment w:val="auto"/>
        <w:rPr>
          <w:rFonts w:hint="eastAsia" w:cs="Times New Roman"/>
          <w:color w:val="auto"/>
          <w:lang w:eastAsia="zh-CN"/>
        </w:rPr>
      </w:pPr>
      <w:bookmarkStart w:id="173" w:name="_Toc15370"/>
      <w:bookmarkStart w:id="174" w:name="_Toc4484"/>
      <w:bookmarkStart w:id="175" w:name="_Toc27471"/>
      <w:r>
        <w:rPr>
          <w:color w:val="auto"/>
        </w:rPr>
        <w:t xml:space="preserve">1  总 </w:t>
      </w:r>
      <w:r>
        <w:rPr>
          <w:rFonts w:hint="eastAsia"/>
          <w:color w:val="auto"/>
        </w:rPr>
        <w:t xml:space="preserve"> </w:t>
      </w:r>
      <w:r>
        <w:rPr>
          <w:color w:val="auto"/>
        </w:rPr>
        <w:t>则</w:t>
      </w:r>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0</w:t>
      </w: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本条阐明了本标准编制的目的，即为了合理利用特细砂资源生产预拌混凝土，提高特细砂混凝土的生产应用水平，使特细砂在预拌混凝土中的应用规范化，以保证工程质量。</w:t>
      </w:r>
    </w:p>
    <w:p>
      <w:pPr>
        <w:spacing w:line="360" w:lineRule="auto"/>
        <w:rPr>
          <w:rFonts w:hint="eastAsia" w:ascii="宋体" w:hAnsi="宋体" w:eastAsia="宋体" w:cs="宋体"/>
          <w:color w:val="auto"/>
          <w:sz w:val="24"/>
          <w:szCs w:val="24"/>
        </w:rPr>
      </w:pP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0</w:t>
      </w:r>
      <w:r>
        <w:rPr>
          <w:rFonts w:hint="default"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本条规定了本标准的适用范围。对安徽省区域内特细砂混凝土的原材料质量控制、混凝土性能</w:t>
      </w:r>
      <w:r>
        <w:rPr>
          <w:rFonts w:hint="eastAsia" w:ascii="宋体" w:hAnsi="宋体" w:cs="宋体"/>
          <w:color w:val="auto"/>
          <w:sz w:val="24"/>
          <w:szCs w:val="24"/>
          <w:lang w:eastAsia="zh-CN"/>
        </w:rPr>
        <w:t>要求</w:t>
      </w:r>
      <w:r>
        <w:rPr>
          <w:rFonts w:hint="eastAsia" w:ascii="宋体" w:hAnsi="宋体" w:eastAsia="宋体" w:cs="宋体"/>
          <w:color w:val="auto"/>
          <w:sz w:val="24"/>
          <w:szCs w:val="24"/>
        </w:rPr>
        <w:t>、配合比设计、生产与施工、质量检验与验收可以使用本标准。</w:t>
      </w:r>
    </w:p>
    <w:p>
      <w:pPr>
        <w:spacing w:line="360" w:lineRule="auto"/>
        <w:outlineLvl w:val="0"/>
        <w:rPr>
          <w:rFonts w:hint="eastAsia" w:ascii="宋体" w:hAnsi="宋体" w:eastAsia="宋体" w:cs="宋体"/>
          <w:color w:val="auto"/>
          <w:sz w:val="24"/>
          <w:szCs w:val="24"/>
          <w:lang w:val="en-US" w:eastAsia="zh-CN"/>
        </w:rPr>
      </w:pPr>
      <w:bookmarkStart w:id="176" w:name="_Toc18798"/>
      <w:bookmarkStart w:id="177" w:name="_Toc215"/>
      <w:bookmarkStart w:id="178" w:name="_Toc7658"/>
      <w:bookmarkStart w:id="179" w:name="_Toc26567"/>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0</w:t>
      </w:r>
      <w:r>
        <w:rPr>
          <w:rFonts w:hint="default"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本条规定了本标准与其他标准、规范的关系。</w:t>
      </w:r>
      <w:bookmarkEnd w:id="176"/>
      <w:bookmarkEnd w:id="177"/>
      <w:bookmarkEnd w:id="178"/>
      <w:bookmarkEnd w:id="179"/>
    </w:p>
    <w:p>
      <w:pPr>
        <w:pStyle w:val="2"/>
        <w:keepNext/>
        <w:keepLines/>
        <w:pageBreakBefore w:val="0"/>
        <w:widowControl w:val="0"/>
        <w:kinsoku/>
        <w:wordWrap/>
        <w:overflowPunct/>
        <w:topLinePunct w:val="0"/>
        <w:autoSpaceDE/>
        <w:autoSpaceDN/>
        <w:bidi w:val="0"/>
        <w:adjustRightInd/>
        <w:snapToGrid/>
        <w:textAlignment w:val="auto"/>
        <w:outlineLvl w:val="9"/>
        <w:rPr>
          <w:color w:val="auto"/>
        </w:rPr>
      </w:pPr>
    </w:p>
    <w:p>
      <w:pPr>
        <w:pStyle w:val="2"/>
        <w:keepNext/>
        <w:keepLines/>
        <w:pageBreakBefore w:val="0"/>
        <w:widowControl w:val="0"/>
        <w:kinsoku/>
        <w:wordWrap/>
        <w:overflowPunct/>
        <w:topLinePunct w:val="0"/>
        <w:autoSpaceDE/>
        <w:autoSpaceDN/>
        <w:bidi w:val="0"/>
        <w:adjustRightInd/>
        <w:snapToGrid/>
        <w:jc w:val="both"/>
        <w:textAlignment w:val="auto"/>
        <w:outlineLvl w:val="9"/>
        <w:rPr>
          <w:color w:val="auto"/>
        </w:rPr>
      </w:pPr>
    </w:p>
    <w:p>
      <w:pPr>
        <w:rPr>
          <w:color w:val="auto"/>
        </w:rPr>
      </w:pPr>
    </w:p>
    <w:p>
      <w:pPr>
        <w:rPr>
          <w:color w:val="auto"/>
        </w:rPr>
      </w:pPr>
    </w:p>
    <w:p>
      <w:pPr>
        <w:rPr>
          <w:color w:val="auto"/>
        </w:rPr>
      </w:pPr>
    </w:p>
    <w:p>
      <w:pPr>
        <w:pStyle w:val="2"/>
        <w:keepNext/>
        <w:keepLines/>
        <w:pageBreakBefore w:val="0"/>
        <w:widowControl w:val="0"/>
        <w:kinsoku/>
        <w:wordWrap/>
        <w:overflowPunct/>
        <w:topLinePunct w:val="0"/>
        <w:autoSpaceDE/>
        <w:autoSpaceDN/>
        <w:bidi w:val="0"/>
        <w:adjustRightInd/>
        <w:snapToGrid/>
        <w:textAlignment w:val="auto"/>
        <w:outlineLvl w:val="9"/>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keepNext/>
        <w:keepLines/>
        <w:pageBreakBefore w:val="0"/>
        <w:widowControl w:val="0"/>
        <w:kinsoku/>
        <w:wordWrap/>
        <w:overflowPunct/>
        <w:topLinePunct w:val="0"/>
        <w:autoSpaceDE/>
        <w:autoSpaceDN/>
        <w:bidi w:val="0"/>
        <w:adjustRightInd/>
        <w:snapToGrid/>
        <w:textAlignment w:val="auto"/>
        <w:rPr>
          <w:color w:val="auto"/>
        </w:rPr>
      </w:pPr>
      <w:bookmarkStart w:id="180" w:name="_Toc5734"/>
      <w:bookmarkStart w:id="181" w:name="_Toc7700"/>
      <w:bookmarkStart w:id="182" w:name="_Toc12979"/>
      <w:bookmarkStart w:id="183" w:name="_Toc10189"/>
      <w:r>
        <w:rPr>
          <w:color w:val="auto"/>
        </w:rPr>
        <w:t>3  基本规定</w:t>
      </w:r>
      <w:bookmarkEnd w:id="180"/>
      <w:bookmarkEnd w:id="181"/>
      <w:bookmarkEnd w:id="182"/>
      <w:bookmarkEnd w:id="183"/>
    </w:p>
    <w:p>
      <w:pPr>
        <w:pStyle w:val="2"/>
        <w:keepNext/>
        <w:keepLines/>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b w:val="0"/>
          <w:bCs w:val="0"/>
          <w:color w:val="auto"/>
          <w:sz w:val="24"/>
          <w:lang w:val="en-US" w:eastAsia="zh-CN"/>
        </w:rPr>
      </w:pPr>
      <w:bookmarkStart w:id="184" w:name="_Toc16423"/>
      <w:bookmarkStart w:id="185" w:name="_Toc8524"/>
      <w:bookmarkStart w:id="186" w:name="_Toc31965"/>
      <w:bookmarkStart w:id="187" w:name="_Toc15902"/>
      <w:r>
        <w:rPr>
          <w:rFonts w:hint="eastAsia" w:ascii="Times New Roman" w:hAnsi="Times New Roman" w:eastAsia="宋体" w:cs="Times New Roman"/>
          <w:b/>
          <w:bCs/>
          <w:color w:val="auto"/>
          <w:kern w:val="2"/>
          <w:sz w:val="24"/>
          <w:szCs w:val="24"/>
          <w:lang w:val="en-US" w:eastAsia="zh-CN" w:bidi="ar-SA"/>
        </w:rPr>
        <w:t>3.0.2</w:t>
      </w:r>
      <w:r>
        <w:rPr>
          <w:rFonts w:hint="eastAsia" w:cs="Times New Roman"/>
          <w:b/>
          <w:bCs/>
          <w:color w:val="auto"/>
          <w:kern w:val="2"/>
          <w:sz w:val="24"/>
          <w:szCs w:val="24"/>
          <w:lang w:val="en-US" w:eastAsia="zh-CN" w:bidi="ar-SA"/>
        </w:rPr>
        <w:t xml:space="preserve">  </w:t>
      </w:r>
      <w:r>
        <w:rPr>
          <w:rFonts w:hint="eastAsia" w:asciiTheme="minorEastAsia" w:hAnsiTheme="minorEastAsia" w:eastAsiaTheme="minorEastAsia" w:cstheme="minorEastAsia"/>
          <w:b w:val="0"/>
          <w:bCs w:val="0"/>
          <w:color w:val="auto"/>
          <w:kern w:val="2"/>
          <w:sz w:val="24"/>
          <w:szCs w:val="24"/>
          <w:lang w:val="en-US" w:eastAsia="zh-CN" w:bidi="ar-SA"/>
        </w:rPr>
        <w:t>混凝土配合比设计应在满足配制强度和施工性能的前提下，兼顾其他力</w:t>
      </w:r>
      <w:r>
        <w:rPr>
          <w:rFonts w:hint="eastAsia" w:asciiTheme="minorEastAsia" w:hAnsiTheme="minorEastAsia" w:eastAsiaTheme="minorEastAsia" w:cstheme="minorEastAsia"/>
          <w:b w:val="0"/>
          <w:bCs w:val="0"/>
          <w:color w:val="auto"/>
          <w:sz w:val="24"/>
          <w:lang w:val="en-US" w:eastAsia="zh-CN"/>
        </w:rPr>
        <w:t>学性能、长期性能和耐久性能的要求。特细砂混凝土相比于普通混凝土的收缩更大，所以强调特细砂混凝土配合比设计应满足低收缩性能的要求。</w:t>
      </w:r>
      <w:bookmarkEnd w:id="184"/>
      <w:bookmarkEnd w:id="185"/>
      <w:bookmarkEnd w:id="186"/>
      <w:bookmarkEnd w:id="187"/>
    </w:p>
    <w:p>
      <w:pPr>
        <w:spacing w:line="360" w:lineRule="auto"/>
        <w:rPr>
          <w:rFonts w:hint="eastAsia" w:cs="Times New Roman"/>
          <w:color w:val="auto"/>
          <w:lang w:val="en-US" w:eastAsia="zh-CN"/>
        </w:rPr>
      </w:pPr>
      <w:r>
        <w:rPr>
          <w:rFonts w:hint="eastAsia" w:ascii="Times New Roman" w:hAnsi="Times New Roman" w:eastAsia="宋体" w:cs="Times New Roman"/>
          <w:b/>
          <w:bCs/>
          <w:color w:val="auto"/>
          <w:kern w:val="2"/>
          <w:sz w:val="24"/>
          <w:szCs w:val="24"/>
          <w:lang w:val="en-US" w:eastAsia="zh-CN" w:bidi="ar-SA"/>
        </w:rPr>
        <w:t>3.0.</w:t>
      </w:r>
      <w:r>
        <w:rPr>
          <w:rFonts w:hint="eastAsia" w:cs="Times New Roman"/>
          <w:b/>
          <w:bCs/>
          <w:color w:val="auto"/>
          <w:kern w:val="2"/>
          <w:sz w:val="24"/>
          <w:szCs w:val="24"/>
          <w:lang w:val="en-US" w:eastAsia="zh-CN" w:bidi="ar-SA"/>
        </w:rPr>
        <w:t xml:space="preserve">3  </w:t>
      </w:r>
      <w:r>
        <w:rPr>
          <w:rFonts w:hint="eastAsia" w:cs="Times New Roman"/>
          <w:b w:val="0"/>
          <w:bCs w:val="0"/>
          <w:color w:val="auto"/>
          <w:kern w:val="2"/>
          <w:sz w:val="24"/>
          <w:szCs w:val="24"/>
          <w:lang w:val="en-US" w:eastAsia="zh-CN" w:bidi="ar-SA"/>
        </w:rPr>
        <w:t>特细砂的比表面积大，需水量大，且砂率对低水胶比混凝土的和易性、强度等性能影响显著，从技术和经济性方面考虑，特细砂不宜作为单独的细骨料配制C55及以上强度等级的混凝土。</w:t>
      </w:r>
    </w:p>
    <w:p>
      <w:pPr>
        <w:pStyle w:val="2"/>
        <w:keepNext/>
        <w:keepLines/>
        <w:pageBreakBefore w:val="0"/>
        <w:widowControl w:val="0"/>
        <w:kinsoku/>
        <w:wordWrap/>
        <w:overflowPunct/>
        <w:topLinePunct w:val="0"/>
        <w:autoSpaceDE/>
        <w:autoSpaceDN/>
        <w:bidi w:val="0"/>
        <w:adjustRightInd/>
        <w:snapToGrid/>
        <w:jc w:val="both"/>
        <w:textAlignment w:val="auto"/>
        <w:outlineLvl w:val="9"/>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pStyle w:val="2"/>
        <w:keepNext/>
        <w:keepLines/>
        <w:pageBreakBefore w:val="0"/>
        <w:widowControl w:val="0"/>
        <w:kinsoku/>
        <w:wordWrap/>
        <w:overflowPunct/>
        <w:topLinePunct w:val="0"/>
        <w:autoSpaceDE/>
        <w:autoSpaceDN/>
        <w:bidi w:val="0"/>
        <w:adjustRightInd/>
        <w:snapToGrid/>
        <w:textAlignment w:val="auto"/>
        <w:rPr>
          <w:rFonts w:hint="eastAsia" w:cs="Times New Roman"/>
          <w:color w:val="auto"/>
          <w:lang w:eastAsia="zh-CN"/>
        </w:rPr>
      </w:pPr>
      <w:bookmarkStart w:id="188" w:name="_Toc953"/>
      <w:bookmarkStart w:id="189" w:name="_Toc31253"/>
      <w:bookmarkStart w:id="190" w:name="_Toc31310"/>
      <w:bookmarkStart w:id="191" w:name="_Toc24049"/>
      <w:r>
        <w:rPr>
          <w:rFonts w:hint="eastAsia" w:cs="Times New Roman"/>
          <w:color w:val="auto"/>
          <w:lang w:val="en-US" w:eastAsia="zh-CN"/>
        </w:rPr>
        <w:t>4</w:t>
      </w:r>
      <w:r>
        <w:rPr>
          <w:rFonts w:hint="eastAsia" w:cs="Times New Roman"/>
          <w:color w:val="auto"/>
          <w:lang w:eastAsia="zh-CN"/>
        </w:rPr>
        <w:t xml:space="preserve"> </w:t>
      </w:r>
      <w:bookmarkEnd w:id="188"/>
      <w:r>
        <w:rPr>
          <w:rFonts w:hint="eastAsia" w:cs="Times New Roman"/>
          <w:color w:val="auto"/>
          <w:lang w:eastAsia="zh-CN"/>
        </w:rPr>
        <w:t>特细砂</w:t>
      </w:r>
      <w:bookmarkEnd w:id="189"/>
      <w:bookmarkEnd w:id="190"/>
      <w:bookmarkEnd w:id="191"/>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s="Times New Roman"/>
          <w:color w:val="auto"/>
          <w:lang w:eastAsia="zh-CN"/>
        </w:rPr>
      </w:pPr>
      <w:bookmarkStart w:id="192" w:name="_Toc31451"/>
      <w:bookmarkStart w:id="193" w:name="_Toc16303"/>
      <w:bookmarkStart w:id="194" w:name="_Toc10600"/>
      <w:bookmarkStart w:id="195" w:name="_Toc23252"/>
      <w:r>
        <w:rPr>
          <w:rFonts w:hint="eastAsia" w:cs="Times New Roman"/>
          <w:color w:val="auto"/>
          <w:lang w:val="en-US" w:eastAsia="zh-CN"/>
        </w:rPr>
        <w:t>4</w:t>
      </w:r>
      <w:r>
        <w:rPr>
          <w:rFonts w:hint="eastAsia" w:cs="Times New Roman"/>
          <w:color w:val="auto"/>
          <w:lang w:eastAsia="zh-CN"/>
        </w:rPr>
        <w:t>.1</w:t>
      </w:r>
      <w:r>
        <w:rPr>
          <w:rFonts w:hint="eastAsia" w:cs="Times New Roman"/>
          <w:color w:val="auto"/>
          <w:lang w:eastAsia="zh-CN"/>
        </w:rPr>
        <w:tab/>
      </w:r>
      <w:r>
        <w:rPr>
          <w:rFonts w:hint="eastAsia" w:cs="Times New Roman"/>
          <w:color w:val="auto"/>
          <w:lang w:val="en-US" w:eastAsia="zh-CN"/>
        </w:rPr>
        <w:t xml:space="preserve"> </w:t>
      </w:r>
      <w:r>
        <w:rPr>
          <w:rFonts w:hint="eastAsia" w:cs="Times New Roman"/>
          <w:color w:val="auto"/>
          <w:lang w:eastAsia="zh-CN"/>
        </w:rPr>
        <w:t>质量要求</w:t>
      </w:r>
      <w:bookmarkEnd w:id="192"/>
      <w:bookmarkEnd w:id="193"/>
      <w:bookmarkEnd w:id="194"/>
      <w:bookmarkEnd w:id="195"/>
    </w:p>
    <w:p>
      <w:pPr>
        <w:rPr>
          <w:rFonts w:hint="eastAsia" w:ascii="宋体" w:hAnsi="宋体" w:eastAsia="宋体" w:cs="宋体"/>
          <w:color w:val="auto"/>
          <w:sz w:val="24"/>
          <w:szCs w:val="24"/>
        </w:rPr>
      </w:pPr>
      <w:r>
        <w:rPr>
          <w:rFonts w:hint="default" w:ascii="Times New Roman" w:hAnsi="Times New Roman" w:eastAsia="宋体" w:cs="Times New Roman"/>
          <w:b/>
          <w:bCs/>
          <w:color w:val="auto"/>
          <w:sz w:val="24"/>
          <w:szCs w:val="24"/>
          <w:lang w:val="en-US" w:eastAsia="zh-CN"/>
        </w:rPr>
        <w:t>4.1.</w:t>
      </w:r>
      <w:r>
        <w:rPr>
          <w:rFonts w:hint="eastAsia"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特细砂的颗粒级配范围已经超出了三个区间范围，所以在此不做要求。</w:t>
      </w:r>
    </w:p>
    <w:p>
      <w:pPr>
        <w:adjustRightInd w:val="0"/>
        <w:snapToGrid w:val="0"/>
        <w:spacing w:line="360" w:lineRule="auto"/>
        <w:rPr>
          <w:rFonts w:hint="default" w:eastAsia="宋体"/>
          <w:color w:val="auto"/>
          <w:sz w:val="24"/>
          <w:lang w:val="en-US" w:eastAsia="zh-CN"/>
        </w:rPr>
      </w:pPr>
    </w:p>
    <w:p>
      <w:pPr>
        <w:adjustRightInd w:val="0"/>
        <w:snapToGrid w:val="0"/>
        <w:spacing w:line="360" w:lineRule="auto"/>
        <w:rPr>
          <w:color w:val="auto"/>
          <w:sz w:val="24"/>
        </w:rPr>
      </w:pPr>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s="Times New Roman"/>
          <w:color w:val="auto"/>
          <w:lang w:eastAsia="zh-CN"/>
        </w:rPr>
      </w:pPr>
      <w:bookmarkStart w:id="196" w:name="_Toc1523"/>
      <w:bookmarkStart w:id="197" w:name="_Toc818"/>
      <w:bookmarkStart w:id="198" w:name="_Toc1881"/>
      <w:bookmarkStart w:id="199" w:name="_Toc220"/>
      <w:r>
        <w:rPr>
          <w:rFonts w:hint="eastAsia" w:cs="Times New Roman"/>
          <w:color w:val="auto"/>
          <w:lang w:val="en-US" w:eastAsia="zh-CN"/>
        </w:rPr>
        <w:t>4</w:t>
      </w: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ab/>
      </w:r>
      <w:r>
        <w:rPr>
          <w:rFonts w:hint="eastAsia" w:cs="Times New Roman"/>
          <w:color w:val="auto"/>
          <w:lang w:val="en-US" w:eastAsia="zh-CN"/>
        </w:rPr>
        <w:t xml:space="preserve"> </w:t>
      </w:r>
      <w:r>
        <w:rPr>
          <w:rFonts w:hint="eastAsia" w:cs="Times New Roman"/>
          <w:color w:val="auto"/>
          <w:lang w:eastAsia="zh-CN"/>
        </w:rPr>
        <w:t>试验方法</w:t>
      </w:r>
      <w:bookmarkEnd w:id="196"/>
      <w:bookmarkEnd w:id="197"/>
      <w:bookmarkEnd w:id="198"/>
      <w:bookmarkEnd w:id="199"/>
    </w:p>
    <w:p>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4.2.1</w:t>
      </w:r>
      <w:r>
        <w:rPr>
          <w:rFonts w:hint="default" w:ascii="Times New Roman" w:hAnsi="Times New Roman" w:eastAsia="宋体" w:cs="Times New Roman"/>
          <w:color w:val="auto"/>
          <w:sz w:val="24"/>
          <w:szCs w:val="24"/>
        </w:rPr>
        <w:t xml:space="preserve"> </w:t>
      </w:r>
      <w:r>
        <w:rPr>
          <w:rFonts w:hint="eastAsia"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特细砂筛分在单个筛上筛余集中度高，建议试样每份取250g。</w:t>
      </w:r>
    </w:p>
    <w:p>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4.2.2</w:t>
      </w:r>
      <w:r>
        <w:rPr>
          <w:rFonts w:hint="default" w:ascii="Times New Roman" w:hAnsi="Times New Roman" w:eastAsia="宋体" w:cs="Times New Roman"/>
          <w:color w:val="auto"/>
          <w:sz w:val="24"/>
          <w:szCs w:val="24"/>
        </w:rPr>
        <w:t xml:space="preserve"> </w:t>
      </w:r>
      <w:r>
        <w:rPr>
          <w:rFonts w:hint="eastAsia"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特细砂的细颗粒多，含泥量试验虹吸管法优于标准方法。</w:t>
      </w:r>
    </w:p>
    <w:p>
      <w:pPr>
        <w:pStyle w:val="2"/>
        <w:keepNext/>
        <w:keepLines/>
        <w:pageBreakBefore w:val="0"/>
        <w:widowControl w:val="0"/>
        <w:kinsoku/>
        <w:wordWrap/>
        <w:overflowPunct/>
        <w:topLinePunct w:val="0"/>
        <w:autoSpaceDE/>
        <w:autoSpaceDN/>
        <w:bidi w:val="0"/>
        <w:adjustRightInd/>
        <w:snapToGrid/>
        <w:jc w:val="both"/>
        <w:textAlignment w:val="auto"/>
        <w:outlineLvl w:val="9"/>
        <w:rPr>
          <w:rFonts w:hint="eastAsia" w:cs="Times New Roman"/>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sectPr>
          <w:footerReference r:id="rId12" w:type="default"/>
          <w:pgSz w:w="11906" w:h="16838"/>
          <w:pgMar w:top="1440" w:right="1800" w:bottom="1440" w:left="1800" w:header="851" w:footer="992" w:gutter="0"/>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textAlignment w:val="auto"/>
        <w:rPr>
          <w:rFonts w:hint="eastAsia" w:cs="Times New Roman"/>
          <w:color w:val="auto"/>
          <w:lang w:eastAsia="zh-CN"/>
        </w:rPr>
      </w:pPr>
      <w:bookmarkStart w:id="200" w:name="_Toc24570"/>
      <w:bookmarkStart w:id="201" w:name="_Toc20664"/>
      <w:bookmarkStart w:id="202" w:name="_Toc16651"/>
      <w:bookmarkStart w:id="203" w:name="_Toc6435"/>
      <w:r>
        <w:rPr>
          <w:rFonts w:hint="eastAsia" w:cs="Times New Roman"/>
          <w:color w:val="auto"/>
          <w:lang w:val="en-US" w:eastAsia="zh-CN"/>
        </w:rPr>
        <w:t>5</w:t>
      </w:r>
      <w:r>
        <w:rPr>
          <w:rFonts w:hint="eastAsia" w:cs="Times New Roman"/>
          <w:color w:val="auto"/>
          <w:lang w:eastAsia="zh-CN"/>
        </w:rPr>
        <w:t xml:space="preserve"> 混凝土性能</w:t>
      </w:r>
      <w:bookmarkEnd w:id="200"/>
      <w:bookmarkEnd w:id="201"/>
      <w:bookmarkEnd w:id="202"/>
      <w:bookmarkEnd w:id="203"/>
    </w:p>
    <w:p>
      <w:pPr>
        <w:pStyle w:val="3"/>
        <w:keepNext/>
        <w:keepLines/>
        <w:pageBreakBefore w:val="0"/>
        <w:widowControl w:val="0"/>
        <w:kinsoku/>
        <w:wordWrap/>
        <w:overflowPunct/>
        <w:topLinePunct w:val="0"/>
        <w:autoSpaceDE/>
        <w:autoSpaceDN/>
        <w:bidi w:val="0"/>
        <w:adjustRightInd/>
        <w:snapToGrid/>
        <w:spacing w:after="260" w:line="416" w:lineRule="auto"/>
        <w:textAlignment w:val="auto"/>
        <w:rPr>
          <w:rFonts w:hint="eastAsia" w:cs="Times New Roman"/>
          <w:color w:val="auto"/>
          <w:lang w:eastAsia="zh-CN"/>
        </w:rPr>
      </w:pPr>
      <w:bookmarkStart w:id="204" w:name="_Toc4250"/>
      <w:bookmarkStart w:id="205" w:name="_Toc27660"/>
      <w:bookmarkStart w:id="206" w:name="_Toc8752"/>
      <w:bookmarkStart w:id="207" w:name="_Toc25911"/>
      <w:r>
        <w:rPr>
          <w:rFonts w:hint="eastAsia" w:cs="Times New Roman"/>
          <w:color w:val="auto"/>
          <w:lang w:val="en-US" w:eastAsia="zh-CN"/>
        </w:rPr>
        <w:t>5</w:t>
      </w:r>
      <w:r>
        <w:rPr>
          <w:rFonts w:hint="eastAsia" w:cs="Times New Roman"/>
          <w:color w:val="auto"/>
          <w:lang w:eastAsia="zh-CN"/>
        </w:rPr>
        <w:t>.1</w:t>
      </w:r>
      <w:r>
        <w:rPr>
          <w:rFonts w:hint="eastAsia" w:cs="Times New Roman"/>
          <w:color w:val="auto"/>
          <w:lang w:eastAsia="zh-CN"/>
        </w:rPr>
        <w:tab/>
      </w:r>
      <w:r>
        <w:rPr>
          <w:rFonts w:hint="eastAsia" w:cs="Times New Roman"/>
          <w:color w:val="auto"/>
          <w:lang w:val="en-US" w:eastAsia="zh-CN"/>
        </w:rPr>
        <w:t xml:space="preserve"> </w:t>
      </w:r>
      <w:r>
        <w:rPr>
          <w:rFonts w:hint="eastAsia" w:cs="Times New Roman"/>
          <w:color w:val="auto"/>
          <w:lang w:eastAsia="zh-CN"/>
        </w:rPr>
        <w:t>拌合物技术要求</w:t>
      </w:r>
      <w:bookmarkEnd w:id="204"/>
      <w:bookmarkEnd w:id="205"/>
      <w:bookmarkEnd w:id="206"/>
      <w:bookmarkEnd w:id="207"/>
    </w:p>
    <w:p>
      <w:pPr>
        <w:pStyle w:val="3"/>
        <w:keepNext/>
        <w:keepLines/>
        <w:pageBreakBefore w:val="0"/>
        <w:widowControl w:val="0"/>
        <w:kinsoku/>
        <w:wordWrap/>
        <w:overflowPunct/>
        <w:topLinePunct w:val="0"/>
        <w:autoSpaceDE/>
        <w:autoSpaceDN/>
        <w:bidi w:val="0"/>
        <w:adjustRightInd/>
        <w:snapToGrid/>
        <w:spacing w:before="260" w:after="313" w:afterLines="100" w:line="416" w:lineRule="auto"/>
        <w:jc w:val="both"/>
        <w:textAlignment w:val="auto"/>
        <w:rPr>
          <w:color w:val="auto"/>
          <w:sz w:val="24"/>
          <w:szCs w:val="32"/>
        </w:rPr>
      </w:pPr>
      <w:bookmarkStart w:id="208" w:name="_Toc32181"/>
      <w:bookmarkStart w:id="209" w:name="_Toc19695"/>
      <w:bookmarkStart w:id="210" w:name="_Toc7566"/>
      <w:bookmarkStart w:id="211" w:name="_Toc21140"/>
      <w:r>
        <w:rPr>
          <w:rFonts w:hint="default" w:ascii="Times New Roman" w:hAnsi="Times New Roman" w:eastAsia="宋体" w:cs="Times New Roman"/>
          <w:b/>
          <w:bCs w:val="0"/>
          <w:color w:val="auto"/>
          <w:kern w:val="0"/>
          <w:sz w:val="24"/>
          <w:szCs w:val="24"/>
          <w:lang w:val="en-US" w:eastAsia="zh-CN" w:bidi="ar"/>
        </w:rPr>
        <w:t>5.1.1</w:t>
      </w:r>
      <w:r>
        <w:rPr>
          <w:rFonts w:hint="eastAsia" w:cs="Times New Roman"/>
          <w:b/>
          <w:bCs w:val="0"/>
          <w:color w:val="auto"/>
          <w:kern w:val="0"/>
          <w:sz w:val="24"/>
          <w:szCs w:val="24"/>
          <w:lang w:val="en-US" w:eastAsia="zh-CN" w:bidi="ar"/>
        </w:rPr>
        <w:t xml:space="preserve"> </w:t>
      </w:r>
      <w:r>
        <w:rPr>
          <w:rFonts w:hint="default" w:ascii="Times New Roman" w:hAnsi="Times New Roman" w:eastAsia="宋体" w:cs="Times New Roman"/>
          <w:b w:val="0"/>
          <w:bCs/>
          <w:color w:val="auto"/>
          <w:kern w:val="0"/>
          <w:sz w:val="24"/>
          <w:szCs w:val="24"/>
          <w:lang w:val="en-US" w:eastAsia="zh-CN" w:bidi="ar"/>
        </w:rPr>
        <w:t>本条规定明确了特细砂混凝土拌合物工作性能的划分等级及所适用的现行国家标准。</w:t>
      </w:r>
      <w:r>
        <w:rPr>
          <w:rFonts w:hint="default" w:ascii="Times New Roman" w:hAnsi="Times New Roman" w:eastAsia="宋体" w:cs="Times New Roman"/>
          <w:b w:val="0"/>
          <w:bCs/>
          <w:color w:val="auto"/>
          <w:kern w:val="0"/>
          <w:sz w:val="24"/>
          <w:szCs w:val="24"/>
          <w:lang w:val="en-US" w:eastAsia="zh-CN" w:bidi="ar"/>
        </w:rPr>
        <w:br w:type="textWrapping"/>
      </w:r>
      <w:r>
        <w:rPr>
          <w:rFonts w:hint="default" w:ascii="Times New Roman" w:hAnsi="Times New Roman" w:eastAsia="宋体" w:cs="Times New Roman"/>
          <w:b/>
          <w:bCs w:val="0"/>
          <w:color w:val="auto"/>
          <w:kern w:val="0"/>
          <w:sz w:val="24"/>
          <w:szCs w:val="24"/>
          <w:lang w:val="en-US" w:eastAsia="zh-CN" w:bidi="ar"/>
        </w:rPr>
        <w:t>5.1.2</w:t>
      </w:r>
      <w:r>
        <w:rPr>
          <w:rFonts w:hint="eastAsia" w:cs="Times New Roman"/>
          <w:b/>
          <w:bCs w:val="0"/>
          <w:color w:val="auto"/>
          <w:kern w:val="0"/>
          <w:sz w:val="24"/>
          <w:szCs w:val="24"/>
          <w:lang w:val="en-US" w:eastAsia="zh-CN" w:bidi="ar"/>
        </w:rPr>
        <w:t xml:space="preserve"> </w:t>
      </w:r>
      <w:r>
        <w:rPr>
          <w:rFonts w:hint="default" w:ascii="Times New Roman" w:hAnsi="Times New Roman" w:eastAsia="宋体" w:cs="Times New Roman"/>
          <w:b w:val="0"/>
          <w:bCs/>
          <w:color w:val="auto"/>
          <w:kern w:val="0"/>
          <w:sz w:val="24"/>
          <w:szCs w:val="24"/>
          <w:lang w:val="en-US" w:eastAsia="zh-CN" w:bidi="ar"/>
        </w:rPr>
        <w:t>特细砂混凝土采用泵送时</w:t>
      </w:r>
      <w:r>
        <w:rPr>
          <w:rFonts w:hint="eastAsia" w:cs="Times New Roman"/>
          <w:b w:val="0"/>
          <w:bCs/>
          <w:color w:val="auto"/>
          <w:kern w:val="0"/>
          <w:sz w:val="24"/>
          <w:szCs w:val="24"/>
          <w:lang w:val="en-US" w:eastAsia="zh-CN" w:bidi="ar"/>
        </w:rPr>
        <w:t>，</w:t>
      </w:r>
      <w:r>
        <w:rPr>
          <w:rFonts w:hint="default" w:ascii="Times New Roman" w:hAnsi="Times New Roman" w:eastAsia="宋体" w:cs="Times New Roman"/>
          <w:b w:val="0"/>
          <w:bCs/>
          <w:color w:val="auto"/>
          <w:kern w:val="0"/>
          <w:sz w:val="24"/>
          <w:szCs w:val="24"/>
          <w:lang w:val="en-US" w:eastAsia="zh-CN" w:bidi="ar"/>
        </w:rPr>
        <w:t>控制混凝土拌合物的坍落度损失速率对保证运输和泵送施工十分必要</w:t>
      </w:r>
      <w:r>
        <w:rPr>
          <w:rFonts w:hint="eastAsia" w:cs="Times New Roman"/>
          <w:b w:val="0"/>
          <w:bCs/>
          <w:color w:val="auto"/>
          <w:kern w:val="0"/>
          <w:sz w:val="24"/>
          <w:szCs w:val="24"/>
          <w:lang w:val="en-US" w:eastAsia="zh-CN" w:bidi="ar"/>
        </w:rPr>
        <w:t>，</w:t>
      </w:r>
      <w:r>
        <w:rPr>
          <w:rFonts w:hint="default" w:ascii="Times New Roman" w:hAnsi="Times New Roman" w:eastAsia="宋体" w:cs="Times New Roman"/>
          <w:b w:val="0"/>
          <w:bCs/>
          <w:color w:val="auto"/>
          <w:kern w:val="0"/>
          <w:sz w:val="24"/>
          <w:szCs w:val="24"/>
          <w:lang w:val="en-US" w:eastAsia="zh-CN" w:bidi="ar"/>
        </w:rPr>
        <w:t>实践表明，一般情况下应将坍落度经时损失控制在30mm/h内。</w:t>
      </w:r>
      <w:r>
        <w:rPr>
          <w:rFonts w:hint="default" w:ascii="Times New Roman" w:hAnsi="Times New Roman" w:eastAsia="宋体" w:cs="Times New Roman"/>
          <w:b w:val="0"/>
          <w:bCs/>
          <w:color w:val="auto"/>
          <w:kern w:val="0"/>
          <w:sz w:val="24"/>
          <w:szCs w:val="24"/>
          <w:lang w:val="en-US" w:eastAsia="zh-CN" w:bidi="ar"/>
        </w:rPr>
        <w:br w:type="textWrapping"/>
      </w:r>
      <w:r>
        <w:rPr>
          <w:rFonts w:ascii="宋体" w:hAnsi="宋体" w:eastAsia="宋体" w:cs="宋体"/>
          <w:color w:val="auto"/>
          <w:kern w:val="0"/>
          <w:sz w:val="32"/>
          <w:szCs w:val="32"/>
          <w:lang w:val="en-US" w:eastAsia="zh-CN" w:bidi="ar"/>
        </w:rPr>
        <w:br w:type="textWrapping"/>
      </w:r>
      <w:r>
        <w:rPr>
          <w:rFonts w:hint="eastAsia" w:ascii="宋体" w:hAnsi="宋体" w:eastAsia="宋体" w:cs="宋体"/>
          <w:color w:val="auto"/>
          <w:kern w:val="0"/>
          <w:sz w:val="32"/>
          <w:szCs w:val="32"/>
          <w:lang w:val="en-US" w:eastAsia="zh-CN" w:bidi="ar"/>
        </w:rPr>
        <w:t xml:space="preserve">                  </w:t>
      </w:r>
      <w:r>
        <w:rPr>
          <w:rFonts w:hint="eastAsia" w:cs="Times New Roman"/>
          <w:color w:val="auto"/>
          <w:lang w:val="en-US" w:eastAsia="zh-CN"/>
        </w:rPr>
        <w:t xml:space="preserve">  5.2 力学性能</w:t>
      </w:r>
      <w:r>
        <w:rPr>
          <w:rFonts w:ascii="宋体" w:hAnsi="宋体" w:eastAsia="宋体" w:cs="宋体"/>
          <w:color w:val="auto"/>
          <w:kern w:val="0"/>
          <w:sz w:val="32"/>
          <w:szCs w:val="32"/>
          <w:lang w:val="en-US" w:eastAsia="zh-CN" w:bidi="ar"/>
        </w:rPr>
        <w:br w:type="textWrapping"/>
      </w:r>
      <w:r>
        <w:rPr>
          <w:rFonts w:hint="eastAsia" w:ascii="Times New Roman" w:hAnsi="Times New Roman" w:eastAsia="宋体" w:cs="Times New Roman"/>
          <w:b/>
          <w:color w:val="auto"/>
          <w:kern w:val="2"/>
          <w:sz w:val="24"/>
          <w:szCs w:val="24"/>
          <w:lang w:val="en-US" w:eastAsia="zh-CN" w:bidi="ar-SA"/>
        </w:rPr>
        <w:t>5.2.1</w:t>
      </w:r>
      <w:r>
        <w:rPr>
          <w:rFonts w:hint="eastAsia" w:ascii="宋体" w:hAnsi="宋体" w:cs="宋体"/>
          <w:b w:val="0"/>
          <w:bCs/>
          <w:color w:val="auto"/>
          <w:kern w:val="0"/>
          <w:sz w:val="24"/>
          <w:szCs w:val="24"/>
          <w:lang w:val="en-US" w:eastAsia="zh-CN" w:bidi="ar"/>
        </w:rPr>
        <w:t xml:space="preserve"> </w:t>
      </w:r>
      <w:r>
        <w:rPr>
          <w:rFonts w:ascii="宋体" w:hAnsi="宋体" w:eastAsia="宋体" w:cs="宋体"/>
          <w:b w:val="0"/>
          <w:bCs/>
          <w:color w:val="auto"/>
          <w:kern w:val="0"/>
          <w:sz w:val="24"/>
          <w:szCs w:val="24"/>
          <w:lang w:val="en-US" w:eastAsia="zh-CN" w:bidi="ar"/>
        </w:rPr>
        <w:t>本条规定明确了特细砂混凝土强度等级的划分。</w:t>
      </w:r>
      <w:r>
        <w:rPr>
          <w:rFonts w:ascii="宋体" w:hAnsi="宋体" w:eastAsia="宋体" w:cs="宋体"/>
          <w:color w:val="auto"/>
          <w:kern w:val="0"/>
          <w:sz w:val="32"/>
          <w:szCs w:val="32"/>
          <w:lang w:val="en-US" w:eastAsia="zh-CN" w:bidi="ar"/>
        </w:rPr>
        <w:br w:type="textWrapping"/>
      </w:r>
      <w:r>
        <w:rPr>
          <w:rFonts w:ascii="宋体" w:hAnsi="宋体" w:eastAsia="宋体" w:cs="宋体"/>
          <w:color w:val="auto"/>
          <w:kern w:val="0"/>
          <w:sz w:val="32"/>
          <w:szCs w:val="32"/>
          <w:lang w:val="en-US" w:eastAsia="zh-CN" w:bidi="ar"/>
        </w:rPr>
        <w:br w:type="textWrapping"/>
      </w:r>
      <w:r>
        <w:rPr>
          <w:rFonts w:hint="eastAsia" w:ascii="宋体" w:hAnsi="宋体" w:eastAsia="宋体" w:cs="宋体"/>
          <w:color w:val="auto"/>
          <w:kern w:val="0"/>
          <w:sz w:val="32"/>
          <w:szCs w:val="32"/>
          <w:lang w:val="en-US" w:eastAsia="zh-CN" w:bidi="ar"/>
        </w:rPr>
        <w:t xml:space="preserve">              </w:t>
      </w:r>
      <w:r>
        <w:rPr>
          <w:rFonts w:hint="eastAsia" w:cs="Times New Roman"/>
          <w:color w:val="auto"/>
          <w:lang w:val="en-US" w:eastAsia="zh-CN"/>
        </w:rPr>
        <w:t xml:space="preserve"> 5.3  长期性能和耐久性能</w:t>
      </w:r>
      <w:r>
        <w:rPr>
          <w:rFonts w:ascii="宋体" w:hAnsi="宋体" w:eastAsia="宋体" w:cs="宋体"/>
          <w:color w:val="auto"/>
          <w:kern w:val="0"/>
          <w:sz w:val="32"/>
          <w:szCs w:val="32"/>
          <w:lang w:val="en-US" w:eastAsia="zh-CN" w:bidi="ar"/>
        </w:rPr>
        <w:br w:type="textWrapping"/>
      </w:r>
      <w:r>
        <w:rPr>
          <w:rFonts w:hint="eastAsia" w:ascii="Times New Roman" w:hAnsi="Times New Roman" w:eastAsia="宋体" w:cs="Times New Roman"/>
          <w:b/>
          <w:color w:val="auto"/>
          <w:kern w:val="2"/>
          <w:sz w:val="24"/>
          <w:szCs w:val="24"/>
          <w:lang w:val="en-US" w:eastAsia="zh-CN" w:bidi="ar-SA"/>
        </w:rPr>
        <w:t>5.3.1</w:t>
      </w:r>
      <w:r>
        <w:rPr>
          <w:rFonts w:hint="eastAsia" w:cs="Times New Roman"/>
          <w:b/>
          <w:color w:val="auto"/>
          <w:kern w:val="2"/>
          <w:sz w:val="24"/>
          <w:szCs w:val="24"/>
          <w:lang w:val="en-US" w:eastAsia="zh-CN" w:bidi="ar-SA"/>
        </w:rPr>
        <w:t xml:space="preserve"> </w:t>
      </w:r>
      <w:r>
        <w:rPr>
          <w:rFonts w:hint="default" w:ascii="Times New Roman" w:hAnsi="Times New Roman" w:eastAsia="宋体" w:cs="Times New Roman"/>
          <w:b/>
          <w:color w:val="auto"/>
          <w:kern w:val="2"/>
          <w:sz w:val="24"/>
          <w:szCs w:val="24"/>
          <w:lang w:val="en-US" w:eastAsia="zh-CN" w:bidi="ar-SA"/>
        </w:rPr>
        <w:t>~</w:t>
      </w:r>
      <w:r>
        <w:rPr>
          <w:rFonts w:hint="eastAsia" w:cs="Times New Roman"/>
          <w:b/>
          <w:color w:val="auto"/>
          <w:kern w:val="2"/>
          <w:sz w:val="24"/>
          <w:szCs w:val="24"/>
          <w:lang w:val="en-US" w:eastAsia="zh-CN" w:bidi="ar-SA"/>
        </w:rPr>
        <w:t xml:space="preserve"> </w:t>
      </w:r>
      <w:r>
        <w:rPr>
          <w:rFonts w:hint="eastAsia" w:ascii="Times New Roman" w:hAnsi="Times New Roman" w:eastAsia="宋体" w:cs="Times New Roman"/>
          <w:b/>
          <w:color w:val="auto"/>
          <w:kern w:val="2"/>
          <w:sz w:val="24"/>
          <w:szCs w:val="24"/>
          <w:lang w:val="en-US" w:eastAsia="zh-CN" w:bidi="ar-SA"/>
        </w:rPr>
        <w:t>5.3.3</w:t>
      </w:r>
      <w:r>
        <w:rPr>
          <w:rFonts w:hint="eastAsia" w:cs="Times New Roman"/>
          <w:b/>
          <w:color w:val="auto"/>
          <w:kern w:val="2"/>
          <w:sz w:val="24"/>
          <w:szCs w:val="24"/>
          <w:lang w:val="en-US" w:eastAsia="zh-CN" w:bidi="ar-SA"/>
        </w:rPr>
        <w:t xml:space="preserve"> </w:t>
      </w:r>
      <w:bookmarkEnd w:id="208"/>
      <w:r>
        <w:rPr>
          <w:rFonts w:ascii="宋体" w:hAnsi="宋体" w:eastAsia="宋体" w:cs="宋体"/>
          <w:b w:val="0"/>
          <w:bCs/>
          <w:color w:val="auto"/>
          <w:kern w:val="0"/>
          <w:sz w:val="24"/>
          <w:szCs w:val="24"/>
          <w:lang w:val="en-US" w:eastAsia="zh-CN" w:bidi="ar"/>
        </w:rPr>
        <w:t>明确了特细砂混凝土长期性能的参数以及相关的适用标准。如国家现行标准《普通混凝土长期性</w:t>
      </w:r>
      <w:r>
        <w:rPr>
          <w:rFonts w:hint="default" w:ascii="Times New Roman" w:hAnsi="Times New Roman" w:eastAsia="宋体" w:cs="Times New Roman"/>
          <w:b w:val="0"/>
          <w:bCs/>
          <w:color w:val="auto"/>
          <w:kern w:val="0"/>
          <w:sz w:val="24"/>
          <w:szCs w:val="24"/>
          <w:lang w:val="en-US" w:eastAsia="zh-CN" w:bidi="ar"/>
        </w:rPr>
        <w:t>能和耐久性能试验方法标准》GB/T50082、《混凝土质量控制标准》GB 50164等规范。</w:t>
      </w:r>
      <w:bookmarkEnd w:id="209"/>
      <w:bookmarkEnd w:id="210"/>
      <w:bookmarkEnd w:id="211"/>
    </w:p>
    <w:p>
      <w:pPr>
        <w:rPr>
          <w:color w:val="auto"/>
          <w:sz w:val="24"/>
          <w:szCs w:val="32"/>
        </w:rPr>
      </w:pPr>
    </w:p>
    <w:p>
      <w:pPr>
        <w:adjustRightInd w:val="0"/>
        <w:snapToGrid w:val="0"/>
        <w:spacing w:line="360" w:lineRule="auto"/>
        <w:rPr>
          <w:rFonts w:hint="eastAsia"/>
          <w:color w:val="auto"/>
          <w:sz w:val="24"/>
        </w:rPr>
      </w:pPr>
    </w:p>
    <w:p>
      <w:pPr>
        <w:adjustRightInd w:val="0"/>
        <w:snapToGrid w:val="0"/>
        <w:spacing w:line="360" w:lineRule="auto"/>
        <w:rPr>
          <w:rFonts w:hint="eastAsia"/>
          <w:color w:val="auto"/>
          <w:sz w:val="24"/>
        </w:rPr>
      </w:pPr>
    </w:p>
    <w:p>
      <w:pPr>
        <w:adjustRightInd w:val="0"/>
        <w:snapToGrid w:val="0"/>
        <w:spacing w:line="360" w:lineRule="auto"/>
        <w:rPr>
          <w:rFonts w:hint="eastAsia"/>
          <w:color w:val="auto"/>
          <w:sz w:val="24"/>
        </w:rPr>
      </w:pPr>
    </w:p>
    <w:p>
      <w:pPr>
        <w:adjustRightInd w:val="0"/>
        <w:snapToGrid w:val="0"/>
        <w:spacing w:line="360" w:lineRule="auto"/>
        <w:rPr>
          <w:rFonts w:hint="eastAsia"/>
          <w:color w:val="auto"/>
          <w:sz w:val="24"/>
        </w:rPr>
      </w:pPr>
    </w:p>
    <w:p>
      <w:pPr>
        <w:adjustRightInd w:val="0"/>
        <w:snapToGrid w:val="0"/>
        <w:spacing w:line="360" w:lineRule="auto"/>
        <w:rPr>
          <w:rFonts w:hint="eastAsia"/>
          <w:color w:val="auto"/>
          <w:sz w:val="24"/>
        </w:rPr>
      </w:pPr>
    </w:p>
    <w:p>
      <w:pPr>
        <w:adjustRightInd w:val="0"/>
        <w:snapToGrid w:val="0"/>
        <w:spacing w:line="360" w:lineRule="auto"/>
        <w:rPr>
          <w:rFonts w:hint="eastAsia"/>
          <w:color w:val="auto"/>
          <w:sz w:val="24"/>
        </w:rPr>
      </w:pPr>
    </w:p>
    <w:p>
      <w:pPr>
        <w:adjustRightInd w:val="0"/>
        <w:snapToGrid w:val="0"/>
        <w:spacing w:line="360" w:lineRule="auto"/>
        <w:rPr>
          <w:rFonts w:hint="eastAsia"/>
          <w:color w:val="auto"/>
          <w:sz w:val="24"/>
        </w:rPr>
      </w:pPr>
    </w:p>
    <w:p>
      <w:pPr>
        <w:pStyle w:val="2"/>
        <w:keepNext/>
        <w:keepLines/>
        <w:pageBreakBefore w:val="0"/>
        <w:widowControl w:val="0"/>
        <w:kinsoku/>
        <w:wordWrap/>
        <w:overflowPunct/>
        <w:topLinePunct w:val="0"/>
        <w:autoSpaceDE/>
        <w:autoSpaceDN/>
        <w:bidi w:val="0"/>
        <w:adjustRightInd/>
        <w:snapToGrid/>
        <w:textAlignment w:val="auto"/>
        <w:rPr>
          <w:rFonts w:hint="eastAsia" w:cs="Times New Roman"/>
          <w:color w:val="auto"/>
          <w:lang w:eastAsia="zh-CN"/>
        </w:rPr>
      </w:pPr>
      <w:bookmarkStart w:id="212" w:name="_Toc14201"/>
      <w:bookmarkStart w:id="213" w:name="_Toc2745"/>
      <w:bookmarkStart w:id="214" w:name="_Toc16381"/>
      <w:bookmarkStart w:id="215" w:name="_Toc13088"/>
      <w:r>
        <w:rPr>
          <w:rFonts w:hint="eastAsia" w:cs="Times New Roman"/>
          <w:color w:val="auto"/>
          <w:lang w:eastAsia="zh-CN"/>
        </w:rPr>
        <w:t>6 配合比</w:t>
      </w:r>
      <w:bookmarkEnd w:id="212"/>
      <w:bookmarkEnd w:id="213"/>
      <w:bookmarkEnd w:id="214"/>
      <w:bookmarkEnd w:id="215"/>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s="Times New Roman"/>
          <w:color w:val="auto"/>
          <w:lang w:eastAsia="zh-CN"/>
        </w:rPr>
      </w:pPr>
      <w:bookmarkStart w:id="216" w:name="_Toc32574"/>
      <w:bookmarkStart w:id="217" w:name="_Toc5858"/>
      <w:bookmarkStart w:id="218" w:name="_Toc15030"/>
      <w:bookmarkStart w:id="219" w:name="_Toc2107"/>
      <w:r>
        <w:rPr>
          <w:rFonts w:hint="eastAsia" w:cs="Times New Roman"/>
          <w:color w:val="auto"/>
          <w:lang w:eastAsia="zh-CN"/>
        </w:rPr>
        <w:t>6.1</w:t>
      </w:r>
      <w:r>
        <w:rPr>
          <w:rFonts w:hint="eastAsia" w:cs="Times New Roman"/>
          <w:color w:val="auto"/>
          <w:lang w:eastAsia="zh-CN"/>
        </w:rPr>
        <w:tab/>
      </w:r>
      <w:r>
        <w:rPr>
          <w:rFonts w:hint="eastAsia" w:cs="Times New Roman"/>
          <w:color w:val="auto"/>
          <w:lang w:val="en-US" w:eastAsia="zh-CN"/>
        </w:rPr>
        <w:t xml:space="preserve"> </w:t>
      </w:r>
      <w:r>
        <w:rPr>
          <w:rFonts w:hint="eastAsia" w:cs="Times New Roman"/>
          <w:color w:val="auto"/>
          <w:lang w:eastAsia="zh-CN"/>
        </w:rPr>
        <w:t>一般规定</w:t>
      </w:r>
      <w:bookmarkEnd w:id="216"/>
      <w:bookmarkEnd w:id="217"/>
      <w:bookmarkEnd w:id="218"/>
      <w:bookmarkEnd w:id="219"/>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6.1.1  </w:t>
      </w:r>
      <w:r>
        <w:rPr>
          <w:rFonts w:hint="eastAsia" w:eastAsia="宋体" w:cs="Times New Roman"/>
          <w:b w:val="0"/>
          <w:bCs/>
          <w:color w:val="auto"/>
          <w:sz w:val="24"/>
          <w:lang w:eastAsia="zh-CN"/>
        </w:rPr>
        <w:t>混凝土配合比设计应在满足配制强度和施工性能的前提下，兼顾其他力学性能、长期性能和耐久性能的要求。特细砂混凝土相比于普通混凝土的收缩更大，所以强调特细砂混凝土配合比设计应满足低收缩性能的要求。</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6.1.2 </w:t>
      </w:r>
      <w:r>
        <w:rPr>
          <w:rFonts w:hint="eastAsia" w:ascii="宋体" w:hAnsi="宋体" w:eastAsia="宋体"/>
          <w:color w:val="auto"/>
          <w:w w:val="110"/>
          <w:sz w:val="24"/>
          <w:szCs w:val="24"/>
          <w:lang w:eastAsia="zh-CN"/>
        </w:rPr>
        <w:t xml:space="preserve"> </w:t>
      </w:r>
      <w:r>
        <w:rPr>
          <w:rFonts w:hint="eastAsia" w:eastAsia="宋体" w:cs="Times New Roman"/>
          <w:b w:val="0"/>
          <w:bCs/>
          <w:color w:val="auto"/>
          <w:sz w:val="24"/>
          <w:lang w:eastAsia="zh-CN"/>
        </w:rPr>
        <w:t>特细砂混凝土易因早期收缩变形大而产生微裂缝，为保证特细砂混凝土的质量，控制特细砂混凝土拌合物早期抗裂性能和特细砂施工期间的保湿养护较为重要。</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6.1.3 </w:t>
      </w:r>
      <w:r>
        <w:rPr>
          <w:rFonts w:hint="eastAsia" w:eastAsia="宋体" w:cs="Times New Roman"/>
          <w:b w:val="0"/>
          <w:bCs/>
          <w:color w:val="auto"/>
          <w:sz w:val="24"/>
          <w:lang w:eastAsia="zh-CN"/>
        </w:rPr>
        <w:t xml:space="preserve"> 控制最大水胶比是保证混凝土耐久性能的重要手段，混凝土配合比设计的首要参数也是水胶比。现行国家标准《混凝土结构耐久性设计标准》GB/T 50476对不同环境的混凝土最大水胶比作了详细规定。</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6.1.4 </w:t>
      </w:r>
      <w:r>
        <w:rPr>
          <w:rFonts w:hint="eastAsia" w:eastAsia="宋体" w:cs="Times New Roman"/>
          <w:b w:val="0"/>
          <w:bCs/>
          <w:color w:val="auto"/>
          <w:sz w:val="24"/>
          <w:lang w:eastAsia="zh-CN"/>
        </w:rPr>
        <w:t xml:space="preserve"> 特细砂比表面积大，保证强度和拌合物工作性能的条件下，其单位体积胶凝材料用量较大，过高胶凝材料用量会导致拌合物粘度增大，硬化混凝土收缩增大，干裂风险提高，因此要对胶凝材料用量加以限制。</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6.1.5</w:t>
      </w:r>
      <w:r>
        <w:rPr>
          <w:rFonts w:hint="eastAsia" w:eastAsia="宋体" w:cs="Times New Roman"/>
          <w:b w:val="0"/>
          <w:bCs/>
          <w:color w:val="auto"/>
          <w:sz w:val="24"/>
          <w:lang w:eastAsia="zh-CN"/>
        </w:rPr>
        <w:t xml:space="preserve">  为保证特细砂混凝土的耐久性能，本条规定矿物掺合料的最大掺量应满足相关规定，同时矿物掺合料的实际掺量也应结合设计要求通过试验验证确认后确定。</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6.1.6 </w:t>
      </w:r>
      <w:r>
        <w:rPr>
          <w:rFonts w:hint="eastAsia" w:eastAsia="宋体" w:cs="Times New Roman"/>
          <w:b w:val="0"/>
          <w:bCs/>
          <w:color w:val="auto"/>
          <w:sz w:val="24"/>
          <w:lang w:eastAsia="zh-CN"/>
        </w:rPr>
        <w:t xml:space="preserve"> 由于外加剂的种类、混凝土用胶凝材料的组分及特细砂的相关技术性能指标的变化会导致外加剂与混凝土原材料的相容性变化，因此，用于特细砂混凝土的外加剂应通过外加剂与混凝土原材料相容性试验确认符合后用于拌制特细砂混凝土。</w:t>
      </w:r>
    </w:p>
    <w:p>
      <w:pPr>
        <w:spacing w:line="360" w:lineRule="auto"/>
        <w:rPr>
          <w:rFonts w:ascii="宋体" w:hAnsi="宋体" w:eastAsia="宋体"/>
          <w:color w:val="auto"/>
          <w:w w:val="115"/>
          <w:sz w:val="28"/>
          <w:szCs w:val="28"/>
          <w:lang w:eastAsia="zh-CN"/>
        </w:rPr>
      </w:pPr>
      <w:r>
        <w:rPr>
          <w:rFonts w:hint="eastAsia" w:eastAsia="宋体" w:cs="Times New Roman"/>
          <w:b/>
          <w:color w:val="auto"/>
          <w:sz w:val="24"/>
          <w:lang w:eastAsia="zh-CN"/>
        </w:rPr>
        <w:t xml:space="preserve">6.1.7 </w:t>
      </w:r>
      <w:r>
        <w:rPr>
          <w:rFonts w:hint="eastAsia" w:eastAsia="宋体" w:cs="Times New Roman"/>
          <w:b w:val="0"/>
          <w:bCs/>
          <w:color w:val="auto"/>
          <w:sz w:val="24"/>
          <w:lang w:eastAsia="zh-CN"/>
        </w:rPr>
        <w:t xml:space="preserve"> 原材料质量发生显著变化是指诸如水泥胶砂强度、矿物掺合料活性、骨料级配品种、外加剂减水率等原材料相关技术性能指标发生明显改变。</w:t>
      </w:r>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s="Times New Roman"/>
          <w:color w:val="auto"/>
          <w:lang w:eastAsia="zh-CN"/>
        </w:rPr>
      </w:pPr>
      <w:bookmarkStart w:id="220" w:name="_Toc29877"/>
      <w:bookmarkStart w:id="221" w:name="_Toc16014"/>
      <w:bookmarkStart w:id="222" w:name="_Toc4880"/>
      <w:bookmarkStart w:id="223" w:name="_Toc7902"/>
      <w:r>
        <w:rPr>
          <w:rFonts w:hint="eastAsia" w:cs="Times New Roman"/>
          <w:color w:val="auto"/>
          <w:lang w:eastAsia="zh-CN"/>
        </w:rPr>
        <w:t>6.2</w:t>
      </w:r>
      <w:r>
        <w:rPr>
          <w:rFonts w:hint="eastAsia" w:cs="Times New Roman"/>
          <w:color w:val="auto"/>
          <w:lang w:val="en-US" w:eastAsia="zh-CN"/>
        </w:rPr>
        <w:t xml:space="preserve"> </w:t>
      </w:r>
      <w:r>
        <w:rPr>
          <w:rFonts w:hint="eastAsia" w:cs="Times New Roman"/>
          <w:color w:val="auto"/>
          <w:lang w:eastAsia="zh-CN"/>
        </w:rPr>
        <w:t>塑性特细砂混凝土</w:t>
      </w:r>
      <w:bookmarkEnd w:id="220"/>
      <w:bookmarkEnd w:id="221"/>
      <w:bookmarkEnd w:id="222"/>
      <w:bookmarkEnd w:id="223"/>
    </w:p>
    <w:p>
      <w:pPr>
        <w:spacing w:line="360" w:lineRule="auto"/>
        <w:rPr>
          <w:rFonts w:hint="eastAsia" w:eastAsia="宋体" w:cs="Times New Roman"/>
          <w:b w:val="0"/>
          <w:bCs/>
          <w:color w:val="auto"/>
          <w:sz w:val="24"/>
          <w:lang w:eastAsia="zh-CN"/>
        </w:rPr>
      </w:pPr>
      <w:bookmarkStart w:id="224" w:name="_Toc16516"/>
      <w:r>
        <w:rPr>
          <w:rFonts w:hint="eastAsia" w:eastAsia="宋体" w:cs="Times New Roman"/>
          <w:b/>
          <w:color w:val="auto"/>
          <w:sz w:val="24"/>
          <w:lang w:eastAsia="zh-CN"/>
        </w:rPr>
        <w:t xml:space="preserve">6.2.1 </w:t>
      </w:r>
      <w:r>
        <w:rPr>
          <w:rFonts w:hint="eastAsia" w:eastAsia="宋体" w:cs="Times New Roman"/>
          <w:b w:val="0"/>
          <w:bCs/>
          <w:color w:val="auto"/>
          <w:sz w:val="24"/>
          <w:lang w:eastAsia="zh-CN"/>
        </w:rPr>
        <w:t xml:space="preserve"> 本条内容与现行行业标准《普通混凝土配合比设计规程》JGJ 55 的 4.0.1 条规定一致。</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6.2.2 </w:t>
      </w:r>
      <w:r>
        <w:rPr>
          <w:rFonts w:hint="eastAsia" w:eastAsia="宋体" w:cs="Times New Roman"/>
          <w:b w:val="0"/>
          <w:bCs/>
          <w:color w:val="auto"/>
          <w:sz w:val="24"/>
          <w:lang w:eastAsia="zh-CN"/>
        </w:rPr>
        <w:t xml:space="preserve"> 混凝土强度公式中的回归系数与《普通混凝土配合比设计规程》JGJ 55 的取值一致，同时也经过系统试验结果统计验证，有良好指导作用。</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6.2.3 </w:t>
      </w:r>
      <w:r>
        <w:rPr>
          <w:rFonts w:hint="eastAsia" w:eastAsia="宋体" w:cs="Times New Roman"/>
          <w:b w:val="0"/>
          <w:bCs/>
          <w:color w:val="auto"/>
          <w:sz w:val="24"/>
          <w:lang w:eastAsia="zh-CN"/>
        </w:rPr>
        <w:t xml:space="preserve"> 表 6.2.4是未掺加外加剂的塑性特细砂混凝土的用水量，是经过多组试验验证的结果。掺加外加剂时，掺加后的用水量可在表6.2.4 的基础上通过试验进行调整。</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6.2.4</w:t>
      </w:r>
      <w:r>
        <w:rPr>
          <w:rFonts w:hint="eastAsia" w:eastAsia="宋体" w:cs="Times New Roman"/>
          <w:b w:val="0"/>
          <w:bCs/>
          <w:color w:val="auto"/>
          <w:sz w:val="24"/>
          <w:lang w:eastAsia="zh-CN"/>
        </w:rPr>
        <w:t xml:space="preserve">  本节中的外加剂是指具有减水功能的外加剂。</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6.2.5 </w:t>
      </w:r>
      <w:r>
        <w:rPr>
          <w:rFonts w:hint="eastAsia" w:eastAsia="宋体" w:cs="Times New Roman"/>
          <w:b w:val="0"/>
          <w:bCs/>
          <w:color w:val="auto"/>
          <w:sz w:val="24"/>
          <w:lang w:eastAsia="zh-CN"/>
        </w:rPr>
        <w:t xml:space="preserve"> 本节的公式计算结果仅仅为初算的胶凝材料用量，实际采用的胶凝材料用量可根据试拌得出的实际用水量及综合拌合物性能作相应调整。</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6.2.6</w:t>
      </w:r>
      <w:r>
        <w:rPr>
          <w:rFonts w:hint="eastAsia" w:eastAsia="宋体" w:cs="Times New Roman"/>
          <w:b w:val="0"/>
          <w:bCs/>
          <w:color w:val="auto"/>
          <w:sz w:val="24"/>
          <w:lang w:eastAsia="zh-CN"/>
        </w:rPr>
        <w:t xml:space="preserve">  砂率对混凝土拌合物性能影响较大，因此，按本节选取的砂率仅是初步的，需要在试配过程中调整后确定合理的砂率。</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eastAsia="zh-CN"/>
        </w:rPr>
        <w:t xml:space="preserve">6.2.7 </w:t>
      </w:r>
      <w:r>
        <w:rPr>
          <w:rFonts w:hint="eastAsia" w:eastAsia="宋体" w:cs="Times New Roman"/>
          <w:b w:val="0"/>
          <w:bCs/>
          <w:color w:val="auto"/>
          <w:sz w:val="24"/>
          <w:lang w:eastAsia="zh-CN"/>
        </w:rPr>
        <w:t xml:space="preserve"> 混凝土配合比设计通常采用体积法，也可采用砂浆剩余系数法，后者对技术指标的要求略高。</w:t>
      </w:r>
    </w:p>
    <w:p>
      <w:pPr>
        <w:spacing w:line="360" w:lineRule="auto"/>
        <w:rPr>
          <w:rFonts w:hint="eastAsia" w:cs="Times New Roman"/>
          <w:color w:val="auto"/>
          <w:lang w:eastAsia="zh-CN"/>
        </w:rPr>
      </w:pPr>
      <w:r>
        <w:rPr>
          <w:rFonts w:hint="eastAsia" w:eastAsia="宋体" w:cs="Times New Roman"/>
          <w:b/>
          <w:color w:val="auto"/>
          <w:sz w:val="24"/>
          <w:lang w:eastAsia="zh-CN"/>
        </w:rPr>
        <w:t xml:space="preserve">6.2.8 </w:t>
      </w:r>
      <w:r>
        <w:rPr>
          <w:rFonts w:hint="eastAsia" w:eastAsia="宋体" w:cs="Times New Roman"/>
          <w:b w:val="0"/>
          <w:bCs/>
          <w:color w:val="auto"/>
          <w:sz w:val="24"/>
          <w:lang w:eastAsia="zh-CN"/>
        </w:rPr>
        <w:t xml:space="preserve"> 本条内容明确了配合比的试配、调整与确定过程应按照《普通混凝土配合比设计规程》JGJ 55规定的方法进行。</w:t>
      </w:r>
    </w:p>
    <w:p>
      <w:pPr>
        <w:pStyle w:val="3"/>
        <w:keepNext/>
        <w:keepLines/>
        <w:pageBreakBefore w:val="0"/>
        <w:widowControl w:val="0"/>
        <w:kinsoku/>
        <w:wordWrap/>
        <w:overflowPunct/>
        <w:topLinePunct w:val="0"/>
        <w:autoSpaceDE/>
        <w:autoSpaceDN/>
        <w:bidi w:val="0"/>
        <w:adjustRightInd/>
        <w:snapToGrid/>
        <w:spacing w:before="380" w:line="416" w:lineRule="auto"/>
        <w:textAlignment w:val="auto"/>
        <w:rPr>
          <w:rFonts w:hint="eastAsia" w:cs="Times New Roman"/>
          <w:color w:val="auto"/>
          <w:lang w:eastAsia="zh-CN"/>
        </w:rPr>
      </w:pPr>
      <w:bookmarkStart w:id="225" w:name="_Toc27337"/>
      <w:bookmarkStart w:id="226" w:name="_Toc21854"/>
      <w:bookmarkStart w:id="227" w:name="_Toc17785"/>
      <w:r>
        <w:rPr>
          <w:rFonts w:hint="eastAsia" w:cs="Times New Roman"/>
          <w:color w:val="auto"/>
          <w:lang w:eastAsia="zh-CN"/>
        </w:rPr>
        <w:t>6.3</w:t>
      </w:r>
      <w:r>
        <w:rPr>
          <w:rFonts w:hint="eastAsia" w:cs="Times New Roman"/>
          <w:color w:val="auto"/>
          <w:lang w:eastAsia="zh-CN"/>
        </w:rPr>
        <w:tab/>
      </w:r>
      <w:r>
        <w:rPr>
          <w:rFonts w:hint="eastAsia" w:cs="Times New Roman"/>
          <w:color w:val="auto"/>
          <w:lang w:val="en-US" w:eastAsia="zh-CN"/>
        </w:rPr>
        <w:t xml:space="preserve"> </w:t>
      </w:r>
      <w:r>
        <w:rPr>
          <w:rFonts w:hint="eastAsia" w:cs="Times New Roman"/>
          <w:color w:val="auto"/>
          <w:lang w:eastAsia="zh-CN"/>
        </w:rPr>
        <w:t>流动性和大流动性特细砂混凝土</w:t>
      </w:r>
      <w:bookmarkEnd w:id="224"/>
      <w:bookmarkEnd w:id="225"/>
      <w:bookmarkEnd w:id="226"/>
      <w:bookmarkEnd w:id="227"/>
    </w:p>
    <w:p>
      <w:pPr>
        <w:spacing w:line="360" w:lineRule="auto"/>
        <w:rPr>
          <w:rFonts w:hint="eastAsia" w:eastAsia="宋体" w:cs="Times New Roman"/>
          <w:b w:val="0"/>
          <w:bCs/>
          <w:color w:val="auto"/>
          <w:sz w:val="24"/>
          <w:lang w:eastAsia="zh-CN"/>
        </w:rPr>
      </w:pPr>
      <w:bookmarkStart w:id="228" w:name="_Toc10415"/>
      <w:r>
        <w:rPr>
          <w:rFonts w:hint="eastAsia" w:eastAsia="宋体" w:cs="Times New Roman"/>
          <w:b/>
          <w:color w:val="auto"/>
          <w:sz w:val="24"/>
          <w:lang w:eastAsia="zh-CN"/>
        </w:rPr>
        <w:t xml:space="preserve">6.3.1 </w:t>
      </w:r>
      <w:r>
        <w:rPr>
          <w:rFonts w:hint="eastAsia" w:eastAsia="宋体" w:cs="Times New Roman"/>
          <w:b w:val="0"/>
          <w:bCs/>
          <w:color w:val="auto"/>
          <w:sz w:val="24"/>
          <w:lang w:eastAsia="zh-CN"/>
        </w:rPr>
        <w:t xml:space="preserve"> 原材料的选用和质量控制对大流动性特细砂混凝土非常重要。在混凝土中掺用泵送剂或减水剂以及矿物掺合料，是配制大流动性特细砂混凝土的基本方法。外加剂与胶凝材料相容性的好坏是决定大流动性混凝土质量的重要因素之一，可根据混凝土的使用要求，制定试验和评价方案，试验方法可参照国家现行标准《混凝土外加剂应用技术规范》GB 50119和《水泥与减水剂相容性试验方法》JC/T 1083进行。</w:t>
      </w:r>
    </w:p>
    <w:p>
      <w:pPr>
        <w:spacing w:line="360" w:lineRule="auto"/>
        <w:rPr>
          <w:color w:val="auto"/>
        </w:rPr>
      </w:pPr>
      <w:r>
        <w:rPr>
          <w:rFonts w:hint="eastAsia" w:eastAsia="宋体" w:cs="Times New Roman"/>
          <w:b/>
          <w:color w:val="auto"/>
          <w:sz w:val="24"/>
          <w:lang w:eastAsia="zh-CN"/>
        </w:rPr>
        <w:t>6.3.</w:t>
      </w:r>
      <w:r>
        <w:rPr>
          <w:rFonts w:hint="eastAsia"/>
          <w:b/>
          <w:bCs w:val="0"/>
          <w:color w:val="auto"/>
          <w:sz w:val="24"/>
          <w:lang w:val="en-US" w:eastAsia="zh-CN"/>
        </w:rPr>
        <w:t>2</w:t>
      </w:r>
      <w:r>
        <w:rPr>
          <w:rFonts w:hint="eastAsia"/>
          <w:bCs/>
          <w:color w:val="auto"/>
          <w:sz w:val="24"/>
          <w:lang w:eastAsia="zh-CN"/>
        </w:rPr>
        <w:t xml:space="preserve"> </w:t>
      </w:r>
      <w:r>
        <w:rPr>
          <w:rFonts w:hint="eastAsia" w:eastAsia="宋体" w:cs="Times New Roman"/>
          <w:b w:val="0"/>
          <w:bCs/>
          <w:color w:val="auto"/>
          <w:sz w:val="24"/>
          <w:lang w:eastAsia="zh-CN"/>
        </w:rPr>
        <w:t xml:space="preserve"> 在配制特细砂混凝土时，合理增减混凝土的砂率是改善混凝土拌合物性能的重要方法。</w:t>
      </w:r>
    </w:p>
    <w:p>
      <w:pPr>
        <w:pStyle w:val="2"/>
        <w:keepNext/>
        <w:keepLines/>
        <w:pageBreakBefore w:val="0"/>
        <w:widowControl w:val="0"/>
        <w:kinsoku/>
        <w:wordWrap/>
        <w:overflowPunct/>
        <w:topLinePunct w:val="0"/>
        <w:autoSpaceDE/>
        <w:autoSpaceDN/>
        <w:bidi w:val="0"/>
        <w:adjustRightInd/>
        <w:snapToGrid/>
        <w:textAlignment w:val="auto"/>
        <w:rPr>
          <w:color w:val="auto"/>
        </w:rPr>
      </w:pPr>
      <w:bookmarkStart w:id="229" w:name="_Toc30465"/>
      <w:bookmarkStart w:id="230" w:name="_Toc28354"/>
      <w:bookmarkStart w:id="231" w:name="_Toc16996"/>
      <w:r>
        <w:rPr>
          <w:color w:val="auto"/>
        </w:rPr>
        <w:t xml:space="preserve">7  </w:t>
      </w:r>
      <w:r>
        <w:rPr>
          <w:rFonts w:hint="eastAsia"/>
          <w:color w:val="auto"/>
        </w:rPr>
        <w:t>生产与施工</w:t>
      </w:r>
      <w:bookmarkEnd w:id="228"/>
      <w:bookmarkEnd w:id="229"/>
      <w:bookmarkEnd w:id="230"/>
      <w:bookmarkEnd w:id="231"/>
    </w:p>
    <w:p>
      <w:pPr>
        <w:pStyle w:val="3"/>
        <w:keepNext/>
        <w:keepLines/>
        <w:pageBreakBefore w:val="0"/>
        <w:widowControl w:val="0"/>
        <w:kinsoku/>
        <w:wordWrap/>
        <w:overflowPunct/>
        <w:topLinePunct w:val="0"/>
        <w:autoSpaceDE/>
        <w:autoSpaceDN/>
        <w:bidi w:val="0"/>
        <w:adjustRightInd/>
        <w:snapToGrid/>
        <w:spacing w:line="416" w:lineRule="auto"/>
        <w:textAlignment w:val="auto"/>
        <w:rPr>
          <w:rFonts w:hint="eastAsia" w:cs="Times New Roman"/>
          <w:color w:val="auto"/>
          <w:lang w:eastAsia="zh-CN"/>
        </w:rPr>
      </w:pPr>
      <w:bookmarkStart w:id="232" w:name="_Toc10120"/>
      <w:bookmarkStart w:id="233" w:name="_Toc23318"/>
      <w:bookmarkStart w:id="234" w:name="_Toc31649"/>
      <w:bookmarkStart w:id="235" w:name="_Toc29020"/>
      <w:r>
        <w:rPr>
          <w:rFonts w:hint="eastAsia" w:cs="Times New Roman"/>
          <w:color w:val="auto"/>
          <w:lang w:eastAsia="zh-CN"/>
        </w:rPr>
        <w:t>7.1 一般规定</w:t>
      </w:r>
      <w:bookmarkEnd w:id="232"/>
      <w:bookmarkEnd w:id="233"/>
      <w:bookmarkEnd w:id="234"/>
      <w:bookmarkEnd w:id="235"/>
    </w:p>
    <w:p>
      <w:pPr>
        <w:spacing w:line="360" w:lineRule="auto"/>
        <w:rPr>
          <w:rFonts w:hint="eastAsia" w:ascii="宋体" w:hAnsi="宋体" w:eastAsia="宋体"/>
          <w:bCs/>
          <w:color w:val="auto"/>
          <w:sz w:val="24"/>
        </w:rPr>
      </w:pPr>
      <w:r>
        <w:rPr>
          <w:rFonts w:hint="eastAsia" w:eastAsia="宋体" w:cs="Times New Roman"/>
          <w:b/>
          <w:color w:val="auto"/>
          <w:sz w:val="24"/>
          <w:lang w:eastAsia="zh-CN"/>
        </w:rPr>
        <w:t>7.1.1</w:t>
      </w:r>
      <w:r>
        <w:rPr>
          <w:rFonts w:hint="eastAsia" w:eastAsia="宋体" w:cs="Times New Roman"/>
          <w:b/>
          <w:color w:val="auto"/>
          <w:sz w:val="24"/>
          <w:lang w:val="en-US" w:eastAsia="zh-CN"/>
        </w:rPr>
        <w:t xml:space="preserve"> </w:t>
      </w:r>
      <w:r>
        <w:rPr>
          <w:rFonts w:hint="eastAsia" w:ascii="宋体" w:hAnsi="宋体" w:eastAsia="宋体"/>
          <w:b w:val="0"/>
          <w:bCs w:val="0"/>
          <w:color w:val="auto"/>
          <w:sz w:val="24"/>
        </w:rPr>
        <w:t>本条规定了特细砂混凝土施工质量控制依据。</w:t>
      </w:r>
    </w:p>
    <w:p>
      <w:pPr>
        <w:spacing w:line="360" w:lineRule="auto"/>
        <w:rPr>
          <w:rFonts w:ascii="宋体" w:hAnsi="宋体"/>
          <w:color w:val="auto"/>
          <w:sz w:val="32"/>
          <w:szCs w:val="32"/>
        </w:rPr>
      </w:pPr>
      <w:r>
        <w:rPr>
          <w:b/>
          <w:bCs/>
          <w:color w:val="auto"/>
          <w:sz w:val="24"/>
        </w:rPr>
        <w:t>7.1.2</w:t>
      </w:r>
      <w:r>
        <w:rPr>
          <w:rFonts w:hint="eastAsia"/>
          <w:b/>
          <w:bCs/>
          <w:color w:val="auto"/>
          <w:sz w:val="24"/>
          <w:lang w:val="en-US" w:eastAsia="zh-CN"/>
        </w:rPr>
        <w:t xml:space="preserve"> </w:t>
      </w:r>
      <w:r>
        <w:rPr>
          <w:rFonts w:hint="eastAsia"/>
          <w:bCs/>
          <w:color w:val="auto"/>
          <w:sz w:val="24"/>
        </w:rPr>
        <w:t>特细砂混凝土具有一定的特殊性，在使用前应向施工单位进行技术交底和产品说明。</w:t>
      </w:r>
    </w:p>
    <w:p>
      <w:pPr>
        <w:spacing w:line="360" w:lineRule="auto"/>
        <w:rPr>
          <w:rFonts w:hint="eastAsia"/>
          <w:bCs/>
          <w:color w:val="auto"/>
          <w:sz w:val="24"/>
        </w:rPr>
      </w:pPr>
      <w:r>
        <w:rPr>
          <w:b/>
          <w:bCs/>
          <w:color w:val="auto"/>
          <w:sz w:val="24"/>
        </w:rPr>
        <w:t xml:space="preserve">7.1.3 </w:t>
      </w:r>
      <w:r>
        <w:rPr>
          <w:rFonts w:hint="eastAsia"/>
          <w:bCs/>
          <w:color w:val="auto"/>
          <w:sz w:val="24"/>
        </w:rPr>
        <w:t>施工单位应在施工前，制定特细砂混凝土施工技术方案，并向施工班组进行技术交底。</w:t>
      </w:r>
    </w:p>
    <w:p>
      <w:pPr>
        <w:pStyle w:val="3"/>
        <w:keepNext/>
        <w:keepLines/>
        <w:pageBreakBefore w:val="0"/>
        <w:widowControl w:val="0"/>
        <w:kinsoku/>
        <w:wordWrap/>
        <w:overflowPunct/>
        <w:topLinePunct w:val="0"/>
        <w:autoSpaceDE/>
        <w:autoSpaceDN/>
        <w:bidi w:val="0"/>
        <w:adjustRightInd/>
        <w:snapToGrid/>
        <w:spacing w:line="360" w:lineRule="auto"/>
        <w:textAlignment w:val="auto"/>
        <w:rPr>
          <w:color w:val="auto"/>
        </w:rPr>
      </w:pPr>
      <w:bookmarkStart w:id="236" w:name="_Toc22964"/>
      <w:bookmarkStart w:id="237" w:name="_Toc31066"/>
      <w:bookmarkStart w:id="238" w:name="_Toc21266"/>
      <w:bookmarkStart w:id="239" w:name="_Toc23062"/>
      <w:r>
        <w:rPr>
          <w:color w:val="auto"/>
        </w:rPr>
        <w:t xml:space="preserve">7.2 </w:t>
      </w:r>
      <w:r>
        <w:rPr>
          <w:rFonts w:hint="eastAsia"/>
          <w:color w:val="auto"/>
        </w:rPr>
        <w:t>混凝土生产</w:t>
      </w:r>
      <w:bookmarkEnd w:id="236"/>
      <w:bookmarkEnd w:id="237"/>
      <w:bookmarkEnd w:id="238"/>
      <w:bookmarkEnd w:id="239"/>
    </w:p>
    <w:p>
      <w:pPr>
        <w:spacing w:line="360" w:lineRule="auto"/>
        <w:rPr>
          <w:rFonts w:hint="eastAsia" w:ascii="宋体" w:hAnsi="宋体" w:eastAsia="宋体"/>
          <w:bCs/>
          <w:color w:val="auto"/>
          <w:sz w:val="24"/>
        </w:rPr>
      </w:pPr>
      <w:r>
        <w:rPr>
          <w:b/>
          <w:bCs/>
          <w:color w:val="auto"/>
          <w:sz w:val="24"/>
        </w:rPr>
        <w:t>7</w:t>
      </w:r>
      <w:r>
        <w:rPr>
          <w:rFonts w:hint="eastAsia"/>
          <w:b/>
          <w:bCs/>
          <w:color w:val="auto"/>
          <w:sz w:val="24"/>
          <w:lang w:val="en-US" w:eastAsia="zh-CN"/>
        </w:rPr>
        <w:t>.</w:t>
      </w:r>
      <w:r>
        <w:rPr>
          <w:b/>
          <w:bCs/>
          <w:color w:val="auto"/>
          <w:sz w:val="24"/>
        </w:rPr>
        <w:t xml:space="preserve">2.1 </w:t>
      </w:r>
      <w:r>
        <w:rPr>
          <w:rFonts w:hint="eastAsia" w:ascii="宋体" w:hAnsi="宋体" w:eastAsia="宋体"/>
          <w:bCs/>
          <w:color w:val="auto"/>
          <w:sz w:val="24"/>
        </w:rPr>
        <w:t>精准称量原材料是控制特细砂混凝土质量的基本要求，每盘原材料计量的允许偏差应符合《混凝土质量控制标准》的相关规定。</w:t>
      </w:r>
    </w:p>
    <w:p>
      <w:pPr>
        <w:spacing w:line="360" w:lineRule="auto"/>
        <w:rPr>
          <w:rFonts w:hint="eastAsia" w:ascii="宋体" w:hAnsi="宋体" w:eastAsia="宋体"/>
          <w:bCs/>
          <w:color w:val="auto"/>
          <w:sz w:val="24"/>
        </w:rPr>
      </w:pPr>
      <w:r>
        <w:rPr>
          <w:b/>
          <w:bCs/>
          <w:color w:val="auto"/>
          <w:sz w:val="24"/>
        </w:rPr>
        <w:t>7.</w:t>
      </w:r>
      <w:r>
        <w:rPr>
          <w:rFonts w:hint="eastAsia"/>
          <w:b/>
          <w:bCs/>
          <w:color w:val="auto"/>
          <w:sz w:val="24"/>
        </w:rPr>
        <w:t>2</w:t>
      </w:r>
      <w:r>
        <w:rPr>
          <w:b/>
          <w:bCs/>
          <w:color w:val="auto"/>
          <w:sz w:val="24"/>
        </w:rPr>
        <w:t>.</w:t>
      </w:r>
      <w:r>
        <w:rPr>
          <w:rFonts w:hint="eastAsia"/>
          <w:b/>
          <w:bCs/>
          <w:color w:val="auto"/>
          <w:sz w:val="24"/>
        </w:rPr>
        <w:t>2</w:t>
      </w:r>
      <w:r>
        <w:rPr>
          <w:b/>
          <w:bCs/>
          <w:color w:val="auto"/>
          <w:sz w:val="24"/>
        </w:rPr>
        <w:t xml:space="preserve"> </w:t>
      </w:r>
      <w:r>
        <w:rPr>
          <w:rFonts w:hint="eastAsia"/>
          <w:bCs/>
          <w:color w:val="auto"/>
          <w:sz w:val="24"/>
        </w:rPr>
        <w:t>特细砂混凝土的流动性与粘聚性对混凝土中用水量的变化比较敏感，应加强骨料含水率的检测。</w:t>
      </w:r>
    </w:p>
    <w:p>
      <w:pPr>
        <w:spacing w:line="360" w:lineRule="auto"/>
        <w:rPr>
          <w:rFonts w:ascii="Times New Roman" w:hAnsi="Times New Roman"/>
          <w:bCs/>
          <w:color w:val="auto"/>
          <w:sz w:val="24"/>
          <w:szCs w:val="24"/>
        </w:rPr>
      </w:pPr>
      <w:r>
        <w:rPr>
          <w:b/>
          <w:bCs/>
          <w:color w:val="auto"/>
          <w:sz w:val="24"/>
        </w:rPr>
        <w:t>7.2.</w:t>
      </w:r>
      <w:r>
        <w:rPr>
          <w:rFonts w:hint="eastAsia"/>
          <w:b/>
          <w:bCs/>
          <w:color w:val="auto"/>
          <w:sz w:val="24"/>
          <w:lang w:val="en-US" w:eastAsia="zh-CN"/>
        </w:rPr>
        <w:t>5</w:t>
      </w:r>
      <w:r>
        <w:rPr>
          <w:b/>
          <w:bCs/>
          <w:color w:val="auto"/>
          <w:sz w:val="24"/>
        </w:rPr>
        <w:t xml:space="preserve"> </w:t>
      </w:r>
      <w:r>
        <w:rPr>
          <w:rFonts w:hint="eastAsia"/>
          <w:bCs/>
          <w:color w:val="auto"/>
          <w:sz w:val="24"/>
        </w:rPr>
        <w:t>特细砂混凝土的泵送施工难度较大，较易出现离析现象，施工中应保证混凝土的连续泵送。</w:t>
      </w:r>
    </w:p>
    <w:p>
      <w:pPr>
        <w:spacing w:line="360" w:lineRule="auto"/>
        <w:rPr>
          <w:rFonts w:hint="eastAsia" w:ascii="宋体" w:hAnsi="宋体" w:eastAsia="宋体"/>
          <w:color w:val="auto"/>
          <w:sz w:val="30"/>
          <w:szCs w:val="30"/>
          <w:lang w:eastAsia="zh-CN"/>
        </w:rPr>
      </w:pPr>
      <w:r>
        <w:rPr>
          <w:rFonts w:eastAsia="宋体" w:cs="Times New Roman"/>
          <w:b/>
          <w:bCs/>
          <w:color w:val="auto"/>
          <w:sz w:val="24"/>
        </w:rPr>
        <w:t>7.2.</w:t>
      </w:r>
      <w:r>
        <w:rPr>
          <w:rFonts w:hint="eastAsia" w:cs="Times New Roman"/>
          <w:b/>
          <w:bCs/>
          <w:color w:val="auto"/>
          <w:sz w:val="24"/>
          <w:lang w:val="en-US" w:eastAsia="zh-CN"/>
        </w:rPr>
        <w:t>6</w:t>
      </w:r>
      <w:r>
        <w:rPr>
          <w:rFonts w:ascii="宋体" w:hAnsi="宋体" w:eastAsia="宋体"/>
          <w:bCs/>
          <w:color w:val="auto"/>
          <w:sz w:val="24"/>
        </w:rPr>
        <w:t xml:space="preserve"> </w:t>
      </w:r>
      <w:r>
        <w:rPr>
          <w:rFonts w:hint="eastAsia" w:ascii="宋体" w:hAnsi="宋体" w:eastAsia="宋体"/>
          <w:bCs/>
          <w:color w:val="auto"/>
          <w:sz w:val="24"/>
        </w:rPr>
        <w:t>是处理混凝土坍落度损失过大的正确处理方法</w:t>
      </w:r>
      <w:r>
        <w:rPr>
          <w:rFonts w:hint="eastAsia" w:ascii="宋体" w:hAnsi="宋体"/>
          <w:bCs/>
          <w:color w:val="auto"/>
          <w:sz w:val="24"/>
          <w:lang w:eastAsia="zh-CN"/>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rPr>
          <w:color w:val="auto"/>
        </w:rPr>
      </w:pPr>
      <w:bookmarkStart w:id="240" w:name="_Toc24785"/>
      <w:bookmarkStart w:id="241" w:name="_Toc15650"/>
      <w:bookmarkStart w:id="242" w:name="_Toc21928"/>
      <w:bookmarkStart w:id="243" w:name="_Toc6028"/>
      <w:r>
        <w:rPr>
          <w:color w:val="auto"/>
        </w:rPr>
        <w:t xml:space="preserve">7.3 </w:t>
      </w:r>
      <w:r>
        <w:rPr>
          <w:rFonts w:hint="eastAsia"/>
          <w:color w:val="auto"/>
        </w:rPr>
        <w:t>混凝土施工</w:t>
      </w:r>
      <w:bookmarkEnd w:id="240"/>
      <w:bookmarkEnd w:id="241"/>
      <w:bookmarkEnd w:id="242"/>
      <w:bookmarkEnd w:id="243"/>
    </w:p>
    <w:p>
      <w:pPr>
        <w:spacing w:line="360" w:lineRule="auto"/>
        <w:rPr>
          <w:rFonts w:hint="eastAsia"/>
          <w:bCs/>
          <w:color w:val="auto"/>
          <w:sz w:val="24"/>
        </w:rPr>
      </w:pPr>
      <w:r>
        <w:rPr>
          <w:b/>
          <w:bCs/>
          <w:color w:val="auto"/>
          <w:sz w:val="24"/>
        </w:rPr>
        <w:t xml:space="preserve">7.3.1 </w:t>
      </w:r>
      <w:r>
        <w:rPr>
          <w:rFonts w:hint="eastAsia"/>
          <w:bCs/>
          <w:color w:val="auto"/>
          <w:sz w:val="24"/>
        </w:rPr>
        <w:t>特细砂混凝土中细骨料与粗骨料粒径相差较大，因此规定自由倾落高度不宜大于3m，有利于避免离析现象的出现。</w:t>
      </w:r>
    </w:p>
    <w:p>
      <w:pPr>
        <w:spacing w:line="360" w:lineRule="auto"/>
        <w:rPr>
          <w:bCs/>
          <w:color w:val="auto"/>
          <w:sz w:val="24"/>
        </w:rPr>
      </w:pPr>
      <w:r>
        <w:rPr>
          <w:rFonts w:eastAsia="宋体" w:cs="Times New Roman"/>
          <w:b/>
          <w:bCs/>
          <w:color w:val="auto"/>
          <w:sz w:val="24"/>
        </w:rPr>
        <w:t xml:space="preserve">7.3.2 </w:t>
      </w:r>
      <w:r>
        <w:rPr>
          <w:rFonts w:hint="eastAsia"/>
          <w:bCs/>
          <w:color w:val="auto"/>
          <w:sz w:val="24"/>
        </w:rPr>
        <w:t>特细砂混凝土干缩大，易开裂。大风条件下失水过快更易开裂。所以规定了特细砂混凝土在风速大于5.0m/s时，浇筑及养护期间</w:t>
      </w:r>
      <w:r>
        <w:rPr>
          <w:rFonts w:hint="eastAsia"/>
          <w:bCs/>
          <w:color w:val="auto"/>
          <w:sz w:val="24"/>
          <w:lang w:eastAsia="zh-CN"/>
        </w:rPr>
        <w:t>应</w:t>
      </w:r>
      <w:r>
        <w:rPr>
          <w:rFonts w:hint="eastAsia"/>
          <w:bCs/>
          <w:color w:val="auto"/>
          <w:sz w:val="24"/>
        </w:rPr>
        <w:t>采取挡风措施。</w:t>
      </w:r>
    </w:p>
    <w:p>
      <w:pPr>
        <w:spacing w:line="360" w:lineRule="auto"/>
        <w:rPr>
          <w:rFonts w:hint="eastAsia"/>
          <w:bCs/>
          <w:color w:val="auto"/>
          <w:sz w:val="24"/>
        </w:rPr>
      </w:pPr>
      <w:r>
        <w:rPr>
          <w:b/>
          <w:bCs/>
          <w:color w:val="auto"/>
          <w:sz w:val="24"/>
        </w:rPr>
        <w:t xml:space="preserve">7.3.3 </w:t>
      </w:r>
      <w:r>
        <w:rPr>
          <w:rFonts w:hint="eastAsia"/>
          <w:bCs/>
          <w:color w:val="auto"/>
          <w:sz w:val="24"/>
        </w:rPr>
        <w:t>混凝土浇筑时的一般性规定。</w:t>
      </w:r>
    </w:p>
    <w:p>
      <w:pPr>
        <w:spacing w:line="360" w:lineRule="auto"/>
        <w:rPr>
          <w:rFonts w:hint="eastAsia"/>
          <w:bCs/>
          <w:color w:val="auto"/>
          <w:sz w:val="24"/>
        </w:rPr>
      </w:pPr>
      <w:r>
        <w:rPr>
          <w:rFonts w:eastAsia="宋体" w:cs="Times New Roman"/>
          <w:b/>
          <w:bCs/>
          <w:color w:val="auto"/>
          <w:sz w:val="24"/>
        </w:rPr>
        <w:t xml:space="preserve">7.3.4 </w:t>
      </w:r>
      <w:r>
        <w:rPr>
          <w:rFonts w:hint="eastAsia"/>
          <w:bCs/>
          <w:color w:val="auto"/>
          <w:sz w:val="24"/>
        </w:rPr>
        <w:t>一般规定。</w:t>
      </w:r>
    </w:p>
    <w:p>
      <w:pPr>
        <w:spacing w:line="360" w:lineRule="auto"/>
        <w:rPr>
          <w:rFonts w:hint="eastAsia"/>
          <w:bCs/>
          <w:color w:val="auto"/>
          <w:sz w:val="24"/>
        </w:rPr>
      </w:pPr>
      <w:r>
        <w:rPr>
          <w:b/>
          <w:bCs/>
          <w:color w:val="auto"/>
          <w:sz w:val="24"/>
        </w:rPr>
        <w:t xml:space="preserve">7.3.5 </w:t>
      </w:r>
      <w:r>
        <w:rPr>
          <w:rFonts w:hint="eastAsia"/>
          <w:bCs/>
          <w:color w:val="auto"/>
          <w:sz w:val="24"/>
        </w:rPr>
        <w:t>特细砂混凝土浇筑宜连续进行，因故间断时间应小于前层混凝土的初凝时间。</w:t>
      </w:r>
    </w:p>
    <w:p>
      <w:pPr>
        <w:spacing w:line="360" w:lineRule="auto"/>
        <w:rPr>
          <w:bCs/>
          <w:color w:val="auto"/>
          <w:sz w:val="24"/>
        </w:rPr>
      </w:pPr>
      <w:r>
        <w:rPr>
          <w:b/>
          <w:bCs/>
          <w:color w:val="auto"/>
          <w:sz w:val="24"/>
        </w:rPr>
        <w:t xml:space="preserve">7.3.6 </w:t>
      </w:r>
      <w:r>
        <w:rPr>
          <w:rFonts w:hint="eastAsia"/>
          <w:bCs/>
          <w:color w:val="auto"/>
          <w:sz w:val="24"/>
        </w:rPr>
        <w:t>在终凝前应采用机械抹面或人工多次抹压，抹压后及时覆盖。有利于预防出现早起干缩裂纹。</w:t>
      </w:r>
    </w:p>
    <w:p>
      <w:pPr>
        <w:spacing w:line="360" w:lineRule="auto"/>
        <w:rPr>
          <w:rFonts w:ascii="宋体" w:hAnsi="宋体"/>
          <w:color w:val="auto"/>
          <w:sz w:val="30"/>
          <w:szCs w:val="30"/>
        </w:rPr>
      </w:pPr>
      <w:r>
        <w:rPr>
          <w:b/>
          <w:bCs/>
          <w:color w:val="auto"/>
          <w:sz w:val="24"/>
        </w:rPr>
        <w:t xml:space="preserve">7.3.7 </w:t>
      </w:r>
      <w:r>
        <w:rPr>
          <w:rFonts w:hint="eastAsia"/>
          <w:bCs/>
          <w:color w:val="auto"/>
          <w:sz w:val="24"/>
        </w:rPr>
        <w:t>本条依据现行国家标准《混凝土结构工程施工规范》GB50666的规定。</w:t>
      </w:r>
    </w:p>
    <w:p>
      <w:pPr>
        <w:spacing w:line="360" w:lineRule="auto"/>
        <w:rPr>
          <w:rFonts w:ascii="Times New Roman" w:hAnsi="Times New Roman"/>
          <w:bCs/>
          <w:color w:val="auto"/>
          <w:sz w:val="24"/>
          <w:szCs w:val="24"/>
        </w:rPr>
      </w:pPr>
      <w:r>
        <w:rPr>
          <w:b/>
          <w:bCs/>
          <w:color w:val="auto"/>
          <w:sz w:val="24"/>
        </w:rPr>
        <w:t xml:space="preserve">7.3.8 </w:t>
      </w:r>
      <w:r>
        <w:rPr>
          <w:rFonts w:hint="eastAsia"/>
          <w:bCs/>
          <w:color w:val="auto"/>
          <w:sz w:val="24"/>
        </w:rPr>
        <w:t>特细砂混凝土侧模拆除时，混凝土强度应符合设计要求；当设计无要求时，应符合现行国家标准《混凝土结构工程施工规范》GB50666的规定。</w:t>
      </w:r>
    </w:p>
    <w:p>
      <w:pPr>
        <w:spacing w:line="360" w:lineRule="auto"/>
        <w:rPr>
          <w:rFonts w:hint="eastAsia"/>
          <w:bCs/>
          <w:color w:val="auto"/>
          <w:sz w:val="24"/>
        </w:rPr>
      </w:pPr>
      <w:r>
        <w:rPr>
          <w:rFonts w:eastAsia="宋体" w:cs="Times New Roman"/>
          <w:b/>
          <w:bCs/>
          <w:color w:val="auto"/>
          <w:sz w:val="24"/>
        </w:rPr>
        <w:t xml:space="preserve">7.3.9 </w:t>
      </w:r>
      <w:r>
        <w:rPr>
          <w:rFonts w:hint="eastAsia"/>
          <w:bCs/>
          <w:color w:val="auto"/>
          <w:sz w:val="24"/>
        </w:rPr>
        <w:t>本条按现行国家标准《混凝土结构工程施工规范》GB50666的规定执行。</w:t>
      </w:r>
      <w:r>
        <w:rPr>
          <w:b/>
          <w:bCs/>
          <w:color w:val="auto"/>
          <w:sz w:val="24"/>
        </w:rPr>
        <w:t xml:space="preserve">7.3.10 </w:t>
      </w:r>
      <w:r>
        <w:rPr>
          <w:rFonts w:hint="eastAsia"/>
          <w:bCs/>
          <w:color w:val="auto"/>
          <w:sz w:val="24"/>
        </w:rPr>
        <w:t>大风天气是指平均风速17.2米/秒～20.7米/秒或以上的风；气温急剧变化指急剧上升或降低。</w:t>
      </w:r>
    </w:p>
    <w:p>
      <w:pPr>
        <w:spacing w:line="360" w:lineRule="auto"/>
        <w:rPr>
          <w:rFonts w:hint="eastAsia"/>
          <w:bCs/>
          <w:color w:val="auto"/>
          <w:sz w:val="24"/>
        </w:rPr>
      </w:pPr>
      <w:r>
        <w:rPr>
          <w:b/>
          <w:bCs/>
          <w:color w:val="auto"/>
          <w:sz w:val="24"/>
        </w:rPr>
        <w:t xml:space="preserve">7.3.11 </w:t>
      </w:r>
      <w:r>
        <w:rPr>
          <w:rFonts w:hint="eastAsia"/>
          <w:bCs/>
          <w:color w:val="auto"/>
          <w:sz w:val="24"/>
        </w:rPr>
        <w:t>特细砂混凝土养护时间建议在执行现行国家标准《混凝土结构工程施工规范》GB50666的规定基础上适当延长养护时间。</w:t>
      </w:r>
    </w:p>
    <w:p>
      <w:pPr>
        <w:spacing w:line="360" w:lineRule="auto"/>
        <w:rPr>
          <w:bCs/>
          <w:color w:val="auto"/>
          <w:sz w:val="24"/>
        </w:rPr>
      </w:pPr>
      <w:r>
        <w:rPr>
          <w:b/>
          <w:bCs/>
          <w:color w:val="auto"/>
          <w:sz w:val="24"/>
        </w:rPr>
        <w:t xml:space="preserve">7.3.12 </w:t>
      </w:r>
      <w:r>
        <w:rPr>
          <w:rFonts w:hint="eastAsia"/>
          <w:bCs/>
          <w:color w:val="auto"/>
          <w:sz w:val="24"/>
        </w:rPr>
        <w:t>装配式混凝土结构在本地区已得到大力推广。有必要规定特细砂混凝土构件或制品的养护制度。</w:t>
      </w:r>
    </w:p>
    <w:p>
      <w:pPr>
        <w:spacing w:line="360" w:lineRule="auto"/>
        <w:rPr>
          <w:rFonts w:hint="eastAsia"/>
          <w:color w:val="auto"/>
          <w:sz w:val="24"/>
        </w:rPr>
      </w:pPr>
      <w:r>
        <w:rPr>
          <w:b/>
          <w:bCs/>
          <w:color w:val="auto"/>
          <w:sz w:val="24"/>
        </w:rPr>
        <w:t xml:space="preserve">7.3.13 </w:t>
      </w:r>
      <w:r>
        <w:rPr>
          <w:rFonts w:hint="eastAsia"/>
          <w:bCs/>
          <w:color w:val="auto"/>
          <w:sz w:val="24"/>
        </w:rPr>
        <w:t>本条内容与现行国家标准《混凝土质量控制标准》GB50164的规定一致。</w:t>
      </w: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spacing w:line="360" w:lineRule="auto"/>
        <w:rPr>
          <w:rFonts w:hint="eastAsia"/>
          <w:color w:val="auto"/>
          <w:sz w:val="24"/>
        </w:rPr>
      </w:pPr>
    </w:p>
    <w:p>
      <w:pPr>
        <w:pStyle w:val="2"/>
        <w:keepNext/>
        <w:keepLines/>
        <w:pageBreakBefore w:val="0"/>
        <w:widowControl w:val="0"/>
        <w:kinsoku/>
        <w:wordWrap/>
        <w:overflowPunct/>
        <w:topLinePunct w:val="0"/>
        <w:autoSpaceDE/>
        <w:autoSpaceDN/>
        <w:bidi w:val="0"/>
        <w:adjustRightInd/>
        <w:snapToGrid/>
        <w:textAlignment w:val="auto"/>
        <w:rPr>
          <w:rFonts w:hint="eastAsia" w:cs="Times New Roman"/>
          <w:color w:val="auto"/>
          <w:lang w:eastAsia="zh-CN"/>
        </w:rPr>
      </w:pPr>
      <w:bookmarkStart w:id="244" w:name="_Toc1969"/>
      <w:bookmarkStart w:id="245" w:name="_Toc4270"/>
      <w:bookmarkStart w:id="246" w:name="_Toc31697"/>
      <w:bookmarkStart w:id="247" w:name="_Toc5480"/>
      <w:r>
        <w:rPr>
          <w:rFonts w:hint="eastAsia" w:cs="Times New Roman"/>
          <w:color w:val="auto"/>
          <w:lang w:val="en-US" w:eastAsia="zh-CN"/>
        </w:rPr>
        <w:t>8</w:t>
      </w:r>
      <w:r>
        <w:rPr>
          <w:rFonts w:hint="eastAsia" w:cs="Times New Roman"/>
          <w:color w:val="auto"/>
          <w:lang w:eastAsia="zh-CN"/>
        </w:rPr>
        <w:t xml:space="preserve"> 质量检验与验收</w:t>
      </w:r>
      <w:bookmarkEnd w:id="244"/>
      <w:bookmarkEnd w:id="245"/>
      <w:bookmarkEnd w:id="246"/>
      <w:bookmarkEnd w:id="247"/>
    </w:p>
    <w:p>
      <w:pPr>
        <w:pStyle w:val="3"/>
        <w:keepNext/>
        <w:keepLines/>
        <w:pageBreakBefore w:val="0"/>
        <w:widowControl w:val="0"/>
        <w:kinsoku/>
        <w:wordWrap/>
        <w:overflowPunct/>
        <w:topLinePunct w:val="0"/>
        <w:autoSpaceDE/>
        <w:autoSpaceDN/>
        <w:bidi w:val="0"/>
        <w:adjustRightInd/>
        <w:snapToGrid/>
        <w:spacing w:after="120" w:line="416" w:lineRule="auto"/>
        <w:textAlignment w:val="auto"/>
        <w:rPr>
          <w:rFonts w:hint="eastAsia" w:cs="Times New Roman"/>
          <w:color w:val="auto"/>
          <w:lang w:eastAsia="zh-CN"/>
        </w:rPr>
      </w:pPr>
      <w:bookmarkStart w:id="248" w:name="_Toc15636"/>
      <w:bookmarkStart w:id="249" w:name="_Toc17315"/>
      <w:bookmarkStart w:id="250" w:name="_Toc5946"/>
      <w:bookmarkStart w:id="251" w:name="_Toc6157"/>
      <w:r>
        <w:rPr>
          <w:rFonts w:hint="eastAsia" w:cs="Times New Roman"/>
          <w:color w:val="auto"/>
          <w:lang w:val="en-US" w:eastAsia="zh-CN"/>
        </w:rPr>
        <w:t>8</w:t>
      </w:r>
      <w:r>
        <w:rPr>
          <w:rFonts w:hint="eastAsia" w:cs="Times New Roman"/>
          <w:color w:val="auto"/>
          <w:lang w:eastAsia="zh-CN"/>
        </w:rPr>
        <w:t>.1</w:t>
      </w:r>
      <w:r>
        <w:rPr>
          <w:rFonts w:hint="eastAsia" w:cs="Times New Roman"/>
          <w:color w:val="auto"/>
          <w:lang w:eastAsia="zh-CN"/>
        </w:rPr>
        <w:tab/>
      </w:r>
      <w:r>
        <w:rPr>
          <w:rFonts w:hint="eastAsia" w:cs="Times New Roman"/>
          <w:color w:val="auto"/>
          <w:lang w:val="en-US" w:eastAsia="zh-CN"/>
        </w:rPr>
        <w:t xml:space="preserve"> </w:t>
      </w:r>
      <w:r>
        <w:rPr>
          <w:rFonts w:hint="eastAsia" w:cs="Times New Roman"/>
          <w:color w:val="auto"/>
          <w:lang w:eastAsia="zh-CN"/>
        </w:rPr>
        <w:t>原材料质量检验</w:t>
      </w:r>
      <w:bookmarkEnd w:id="248"/>
      <w:bookmarkEnd w:id="249"/>
      <w:bookmarkEnd w:id="250"/>
      <w:bookmarkEnd w:id="251"/>
    </w:p>
    <w:p>
      <w:pPr>
        <w:spacing w:line="360" w:lineRule="auto"/>
        <w:rPr>
          <w:rFonts w:hint="eastAsia" w:eastAsia="宋体" w:cs="Times New Roman"/>
          <w:b w:val="0"/>
          <w:bCs/>
          <w:color w:val="auto"/>
          <w:sz w:val="24"/>
          <w:lang w:eastAsia="zh-CN"/>
        </w:rPr>
      </w:pPr>
      <w:r>
        <w:rPr>
          <w:rFonts w:hint="eastAsia" w:eastAsia="宋体" w:cs="Times New Roman"/>
          <w:b/>
          <w:color w:val="auto"/>
          <w:sz w:val="24"/>
          <w:lang w:val="en-US" w:eastAsia="zh-CN"/>
        </w:rPr>
        <w:t>8</w:t>
      </w:r>
      <w:r>
        <w:rPr>
          <w:rFonts w:hint="eastAsia" w:eastAsia="宋体" w:cs="Times New Roman"/>
          <w:b/>
          <w:color w:val="auto"/>
          <w:sz w:val="24"/>
          <w:lang w:eastAsia="zh-CN"/>
        </w:rPr>
        <w:t xml:space="preserve">.1.1 </w:t>
      </w:r>
      <w:r>
        <w:rPr>
          <w:rFonts w:hint="eastAsia" w:eastAsia="宋体" w:cs="Times New Roman"/>
          <w:b w:val="0"/>
          <w:bCs/>
          <w:color w:val="auto"/>
          <w:sz w:val="24"/>
          <w:lang w:eastAsia="zh-CN"/>
        </w:rPr>
        <w:t>本条规定了特细砂进场的检验项目。</w:t>
      </w:r>
    </w:p>
    <w:p>
      <w:pPr>
        <w:spacing w:line="360" w:lineRule="auto"/>
        <w:rPr>
          <w:rFonts w:hint="eastAsia" w:eastAsia="宋体" w:cs="Times New Roman"/>
          <w:b w:val="0"/>
          <w:bCs/>
          <w:color w:val="auto"/>
          <w:sz w:val="24"/>
          <w:lang w:eastAsia="zh-CN"/>
        </w:rPr>
      </w:pPr>
      <w:r>
        <w:rPr>
          <w:rFonts w:hint="eastAsia" w:eastAsia="宋体" w:cs="Times New Roman"/>
          <w:b/>
          <w:color w:val="auto"/>
          <w:sz w:val="24"/>
          <w:lang w:val="en-US" w:eastAsia="zh-CN"/>
        </w:rPr>
        <w:t>8</w:t>
      </w:r>
      <w:r>
        <w:rPr>
          <w:rFonts w:hint="eastAsia" w:eastAsia="宋体" w:cs="Times New Roman"/>
          <w:b/>
          <w:color w:val="auto"/>
          <w:sz w:val="24"/>
          <w:lang w:eastAsia="zh-CN"/>
        </w:rPr>
        <w:t xml:space="preserve">.1.2 </w:t>
      </w:r>
      <w:r>
        <w:rPr>
          <w:rFonts w:hint="eastAsia" w:eastAsia="宋体" w:cs="Times New Roman"/>
          <w:b w:val="0"/>
          <w:bCs/>
          <w:color w:val="auto"/>
          <w:sz w:val="24"/>
          <w:lang w:eastAsia="zh-CN"/>
        </w:rPr>
        <w:t>本条规定了特细砂混凝土其他原材料的检验规则。</w:t>
      </w:r>
    </w:p>
    <w:p>
      <w:pPr>
        <w:pStyle w:val="3"/>
        <w:keepNext/>
        <w:keepLines/>
        <w:pageBreakBefore w:val="0"/>
        <w:widowControl w:val="0"/>
        <w:kinsoku/>
        <w:wordWrap/>
        <w:overflowPunct/>
        <w:topLinePunct w:val="0"/>
        <w:autoSpaceDE/>
        <w:autoSpaceDN/>
        <w:bidi w:val="0"/>
        <w:adjustRightInd/>
        <w:snapToGrid/>
        <w:spacing w:after="120" w:line="416" w:lineRule="auto"/>
        <w:textAlignment w:val="auto"/>
        <w:rPr>
          <w:rFonts w:hint="eastAsia"/>
          <w:color w:val="auto"/>
        </w:rPr>
      </w:pPr>
      <w:bookmarkStart w:id="252" w:name="_Toc30083"/>
      <w:bookmarkStart w:id="253" w:name="_Toc7388"/>
      <w:bookmarkStart w:id="254" w:name="_Toc15035"/>
      <w:bookmarkStart w:id="255" w:name="_Toc19460"/>
      <w:r>
        <w:rPr>
          <w:rFonts w:hint="eastAsia"/>
          <w:color w:val="auto"/>
        </w:rPr>
        <w:t>8.2  拌合物性能检验</w:t>
      </w:r>
      <w:bookmarkEnd w:id="252"/>
      <w:bookmarkEnd w:id="253"/>
      <w:bookmarkEnd w:id="254"/>
      <w:bookmarkEnd w:id="255"/>
    </w:p>
    <w:p>
      <w:pPr>
        <w:spacing w:line="360" w:lineRule="auto"/>
        <w:rPr>
          <w:rFonts w:hint="eastAsia" w:eastAsia="宋体" w:cs="Times New Roman"/>
          <w:b w:val="0"/>
          <w:bCs/>
          <w:color w:val="auto"/>
          <w:sz w:val="24"/>
          <w:lang w:val="en-US" w:eastAsia="zh-CN"/>
        </w:rPr>
      </w:pPr>
      <w:r>
        <w:rPr>
          <w:rFonts w:hint="eastAsia" w:eastAsia="宋体" w:cs="Times New Roman"/>
          <w:b/>
          <w:color w:val="auto"/>
          <w:sz w:val="24"/>
          <w:lang w:val="en-US" w:eastAsia="zh-CN"/>
        </w:rPr>
        <w:t>8</w:t>
      </w:r>
      <w:r>
        <w:rPr>
          <w:rFonts w:hint="eastAsia" w:eastAsia="宋体" w:cs="Times New Roman"/>
          <w:b/>
          <w:color w:val="auto"/>
          <w:sz w:val="24"/>
          <w:lang w:eastAsia="zh-CN"/>
        </w:rPr>
        <w:t>.</w:t>
      </w:r>
      <w:r>
        <w:rPr>
          <w:rFonts w:hint="eastAsia" w:eastAsia="宋体" w:cs="Times New Roman"/>
          <w:b/>
          <w:color w:val="auto"/>
          <w:sz w:val="24"/>
          <w:lang w:val="en-US" w:eastAsia="zh-CN"/>
        </w:rPr>
        <w:t>2</w:t>
      </w:r>
      <w:r>
        <w:rPr>
          <w:rFonts w:hint="eastAsia" w:eastAsia="宋体" w:cs="Times New Roman"/>
          <w:b/>
          <w:color w:val="auto"/>
          <w:sz w:val="24"/>
          <w:lang w:eastAsia="zh-CN"/>
        </w:rPr>
        <w:t>.1</w:t>
      </w:r>
      <w:r>
        <w:rPr>
          <w:rFonts w:hint="eastAsia" w:eastAsia="宋体" w:cs="Times New Roman"/>
          <w:b/>
          <w:color w:val="auto"/>
          <w:sz w:val="24"/>
          <w:lang w:val="en-US" w:eastAsia="zh-CN"/>
        </w:rPr>
        <w:t xml:space="preserve"> </w:t>
      </w:r>
      <w:r>
        <w:rPr>
          <w:rFonts w:hint="eastAsia" w:eastAsia="宋体" w:cs="Times New Roman"/>
          <w:b w:val="0"/>
          <w:bCs/>
          <w:color w:val="auto"/>
          <w:sz w:val="24"/>
          <w:lang w:val="en-US" w:eastAsia="zh-CN"/>
        </w:rPr>
        <w:t>本条规定了特细砂混凝土拌合物的抽样单位和抽样地点。特细砂混凝土质量的检验分为供方的出厂检验与需方的交货检验：出厂检验的取样和试验工作由生产预拌混凝土的供方负责；交货检验的取样和试验工作由需方承担，由施工单位按规定在混凝土浇注的工程部位随机取样和制样。</w:t>
      </w:r>
    </w:p>
    <w:p>
      <w:pPr>
        <w:spacing w:line="360" w:lineRule="auto"/>
        <w:rPr>
          <w:rFonts w:hint="eastAsia" w:eastAsia="宋体" w:cs="Times New Roman"/>
          <w:b w:val="0"/>
          <w:bCs/>
          <w:color w:val="auto"/>
          <w:sz w:val="24"/>
          <w:lang w:val="en-US" w:eastAsia="zh-CN"/>
        </w:rPr>
      </w:pPr>
      <w:r>
        <w:rPr>
          <w:rFonts w:hint="eastAsia" w:eastAsia="宋体" w:cs="Times New Roman"/>
          <w:b/>
          <w:color w:val="auto"/>
          <w:sz w:val="24"/>
          <w:lang w:val="en-US" w:eastAsia="zh-CN"/>
        </w:rPr>
        <w:t>8</w:t>
      </w:r>
      <w:r>
        <w:rPr>
          <w:rFonts w:hint="eastAsia" w:eastAsia="宋体" w:cs="Times New Roman"/>
          <w:b/>
          <w:color w:val="auto"/>
          <w:sz w:val="24"/>
          <w:lang w:eastAsia="zh-CN"/>
        </w:rPr>
        <w:t>.</w:t>
      </w:r>
      <w:r>
        <w:rPr>
          <w:rFonts w:hint="eastAsia" w:eastAsia="宋体" w:cs="Times New Roman"/>
          <w:b/>
          <w:color w:val="auto"/>
          <w:sz w:val="24"/>
          <w:lang w:val="en-US" w:eastAsia="zh-CN"/>
        </w:rPr>
        <w:t>2</w:t>
      </w:r>
      <w:r>
        <w:rPr>
          <w:rFonts w:hint="eastAsia" w:eastAsia="宋体" w:cs="Times New Roman"/>
          <w:b/>
          <w:color w:val="auto"/>
          <w:sz w:val="24"/>
          <w:lang w:eastAsia="zh-CN"/>
        </w:rPr>
        <w:t>.</w:t>
      </w:r>
      <w:r>
        <w:rPr>
          <w:rFonts w:hint="eastAsia" w:eastAsia="宋体" w:cs="Times New Roman"/>
          <w:b/>
          <w:color w:val="auto"/>
          <w:sz w:val="24"/>
          <w:lang w:val="en-US" w:eastAsia="zh-CN"/>
        </w:rPr>
        <w:t xml:space="preserve">2 </w:t>
      </w:r>
      <w:r>
        <w:rPr>
          <w:rFonts w:hint="eastAsia" w:eastAsia="宋体" w:cs="Times New Roman"/>
          <w:b w:val="0"/>
          <w:bCs/>
          <w:color w:val="auto"/>
          <w:sz w:val="24"/>
          <w:lang w:val="en-US" w:eastAsia="zh-CN"/>
        </w:rPr>
        <w:t>本条规定了特细砂混凝土拌合物的抽样检验频次。</w:t>
      </w:r>
    </w:p>
    <w:p>
      <w:pPr>
        <w:spacing w:line="360" w:lineRule="auto"/>
        <w:rPr>
          <w:rFonts w:hint="eastAsia" w:eastAsia="宋体" w:cs="Times New Roman"/>
          <w:b w:val="0"/>
          <w:bCs/>
          <w:color w:val="auto"/>
          <w:sz w:val="24"/>
          <w:lang w:val="en-US" w:eastAsia="zh-CN"/>
        </w:rPr>
      </w:pPr>
      <w:r>
        <w:rPr>
          <w:rFonts w:hint="eastAsia" w:eastAsia="宋体" w:cs="Times New Roman"/>
          <w:b/>
          <w:color w:val="auto"/>
          <w:sz w:val="24"/>
          <w:lang w:val="en-US" w:eastAsia="zh-CN"/>
        </w:rPr>
        <w:t>8</w:t>
      </w:r>
      <w:r>
        <w:rPr>
          <w:rFonts w:hint="eastAsia" w:eastAsia="宋体" w:cs="Times New Roman"/>
          <w:b/>
          <w:color w:val="auto"/>
          <w:sz w:val="24"/>
          <w:lang w:eastAsia="zh-CN"/>
        </w:rPr>
        <w:t>.</w:t>
      </w:r>
      <w:r>
        <w:rPr>
          <w:rFonts w:hint="eastAsia" w:eastAsia="宋体" w:cs="Times New Roman"/>
          <w:b/>
          <w:color w:val="auto"/>
          <w:sz w:val="24"/>
          <w:lang w:val="en-US" w:eastAsia="zh-CN"/>
        </w:rPr>
        <w:t>2</w:t>
      </w:r>
      <w:r>
        <w:rPr>
          <w:rFonts w:hint="eastAsia" w:eastAsia="宋体" w:cs="Times New Roman"/>
          <w:b/>
          <w:color w:val="auto"/>
          <w:sz w:val="24"/>
          <w:lang w:eastAsia="zh-CN"/>
        </w:rPr>
        <w:t>.</w:t>
      </w:r>
      <w:r>
        <w:rPr>
          <w:rFonts w:hint="eastAsia" w:eastAsia="宋体" w:cs="Times New Roman"/>
          <w:b/>
          <w:color w:val="auto"/>
          <w:sz w:val="24"/>
          <w:lang w:val="en-US" w:eastAsia="zh-CN"/>
        </w:rPr>
        <w:t xml:space="preserve">3 </w:t>
      </w:r>
      <w:r>
        <w:rPr>
          <w:rFonts w:hint="eastAsia" w:eastAsia="宋体" w:cs="Times New Roman"/>
          <w:b w:val="0"/>
          <w:bCs/>
          <w:color w:val="auto"/>
          <w:sz w:val="24"/>
          <w:lang w:val="en-US" w:eastAsia="zh-CN"/>
        </w:rPr>
        <w:t>本条规定了特细砂混凝土的拌合物性能应符合的质量要求。</w:t>
      </w:r>
    </w:p>
    <w:p>
      <w:pPr>
        <w:pStyle w:val="3"/>
        <w:keepNext/>
        <w:keepLines/>
        <w:pageBreakBefore w:val="0"/>
        <w:widowControl w:val="0"/>
        <w:kinsoku/>
        <w:wordWrap/>
        <w:overflowPunct/>
        <w:topLinePunct w:val="0"/>
        <w:autoSpaceDE/>
        <w:autoSpaceDN/>
        <w:bidi w:val="0"/>
        <w:adjustRightInd/>
        <w:snapToGrid/>
        <w:spacing w:after="120" w:line="416" w:lineRule="auto"/>
        <w:textAlignment w:val="auto"/>
        <w:rPr>
          <w:rFonts w:hint="eastAsia"/>
          <w:color w:val="auto"/>
        </w:rPr>
      </w:pPr>
      <w:bookmarkStart w:id="256" w:name="_Toc27574"/>
      <w:bookmarkStart w:id="257" w:name="_Toc27924"/>
      <w:bookmarkStart w:id="258" w:name="_Toc9337"/>
      <w:bookmarkStart w:id="259" w:name="_Toc1805"/>
      <w:r>
        <w:rPr>
          <w:rFonts w:hint="eastAsia"/>
          <w:color w:val="auto"/>
        </w:rPr>
        <w:t>8.</w:t>
      </w:r>
      <w:r>
        <w:rPr>
          <w:rFonts w:hint="eastAsia"/>
          <w:color w:val="auto"/>
          <w:lang w:val="en-US" w:eastAsia="zh-CN"/>
        </w:rPr>
        <w:t>3</w:t>
      </w:r>
      <w:r>
        <w:rPr>
          <w:rFonts w:hint="eastAsia"/>
          <w:color w:val="auto"/>
        </w:rPr>
        <w:t xml:space="preserve">  力学性能检验</w:t>
      </w:r>
      <w:bookmarkEnd w:id="256"/>
      <w:bookmarkEnd w:id="257"/>
      <w:bookmarkEnd w:id="258"/>
      <w:bookmarkEnd w:id="259"/>
    </w:p>
    <w:p>
      <w:pPr>
        <w:spacing w:line="360" w:lineRule="auto"/>
        <w:rPr>
          <w:rFonts w:hint="eastAsia" w:eastAsia="宋体" w:cs="Times New Roman"/>
          <w:b w:val="0"/>
          <w:bCs/>
          <w:color w:val="auto"/>
          <w:sz w:val="24"/>
          <w:lang w:val="en-US" w:eastAsia="zh-CN"/>
        </w:rPr>
      </w:pPr>
      <w:r>
        <w:rPr>
          <w:rFonts w:hint="eastAsia" w:eastAsia="宋体" w:cs="Times New Roman"/>
          <w:b/>
          <w:color w:val="auto"/>
          <w:sz w:val="24"/>
          <w:lang w:val="en-US" w:eastAsia="zh-CN"/>
        </w:rPr>
        <w:t>8</w:t>
      </w:r>
      <w:r>
        <w:rPr>
          <w:rFonts w:hint="eastAsia" w:eastAsia="宋体" w:cs="Times New Roman"/>
          <w:b/>
          <w:color w:val="auto"/>
          <w:sz w:val="24"/>
          <w:lang w:eastAsia="zh-CN"/>
        </w:rPr>
        <w:t>.</w:t>
      </w:r>
      <w:r>
        <w:rPr>
          <w:rFonts w:hint="eastAsia" w:eastAsia="宋体" w:cs="Times New Roman"/>
          <w:b/>
          <w:color w:val="auto"/>
          <w:sz w:val="24"/>
          <w:lang w:val="en-US" w:eastAsia="zh-CN"/>
        </w:rPr>
        <w:t>3</w:t>
      </w:r>
      <w:r>
        <w:rPr>
          <w:rFonts w:hint="eastAsia" w:eastAsia="宋体" w:cs="Times New Roman"/>
          <w:b/>
          <w:color w:val="auto"/>
          <w:sz w:val="24"/>
          <w:lang w:eastAsia="zh-CN"/>
        </w:rPr>
        <w:t>.</w:t>
      </w:r>
      <w:r>
        <w:rPr>
          <w:rFonts w:hint="eastAsia" w:eastAsia="宋体" w:cs="Times New Roman"/>
          <w:b/>
          <w:color w:val="auto"/>
          <w:sz w:val="24"/>
          <w:lang w:val="en-US" w:eastAsia="zh-CN"/>
        </w:rPr>
        <w:t xml:space="preserve">1 </w:t>
      </w:r>
      <w:r>
        <w:rPr>
          <w:rFonts w:hint="eastAsia" w:eastAsia="宋体" w:cs="Times New Roman"/>
          <w:b w:val="0"/>
          <w:bCs/>
          <w:color w:val="auto"/>
          <w:sz w:val="24"/>
          <w:lang w:val="en-US" w:eastAsia="zh-CN"/>
        </w:rPr>
        <w:t>本条规定了特细砂混凝土力学性能试验依据。</w:t>
      </w:r>
    </w:p>
    <w:p>
      <w:pPr>
        <w:spacing w:line="360" w:lineRule="auto"/>
        <w:rPr>
          <w:rFonts w:hint="eastAsia" w:eastAsia="宋体" w:cs="Times New Roman"/>
          <w:b w:val="0"/>
          <w:bCs/>
          <w:color w:val="auto"/>
          <w:sz w:val="24"/>
          <w:lang w:val="en-US" w:eastAsia="zh-CN"/>
        </w:rPr>
      </w:pPr>
      <w:r>
        <w:rPr>
          <w:rFonts w:hint="eastAsia"/>
          <w:b/>
          <w:color w:val="auto"/>
          <w:sz w:val="24"/>
        </w:rPr>
        <w:t>8.3.2</w:t>
      </w:r>
      <w:r>
        <w:rPr>
          <w:rFonts w:hint="eastAsia"/>
          <w:color w:val="auto"/>
          <w:sz w:val="24"/>
        </w:rPr>
        <w:t xml:space="preserve"> </w:t>
      </w:r>
      <w:r>
        <w:rPr>
          <w:rFonts w:hint="eastAsia" w:eastAsia="宋体" w:cs="Times New Roman"/>
          <w:b w:val="0"/>
          <w:bCs/>
          <w:color w:val="auto"/>
          <w:sz w:val="24"/>
          <w:lang w:val="en-US" w:eastAsia="zh-CN"/>
        </w:rPr>
        <w:t>本条规定了特细砂混凝土力学性能应符合的质量要求。</w:t>
      </w:r>
    </w:p>
    <w:p>
      <w:pPr>
        <w:pStyle w:val="3"/>
        <w:keepNext/>
        <w:keepLines/>
        <w:pageBreakBefore w:val="0"/>
        <w:widowControl w:val="0"/>
        <w:kinsoku/>
        <w:wordWrap/>
        <w:overflowPunct/>
        <w:topLinePunct w:val="0"/>
        <w:autoSpaceDE/>
        <w:autoSpaceDN/>
        <w:bidi w:val="0"/>
        <w:adjustRightInd/>
        <w:snapToGrid/>
        <w:spacing w:after="120" w:line="416" w:lineRule="auto"/>
        <w:textAlignment w:val="auto"/>
        <w:rPr>
          <w:rFonts w:hint="eastAsia"/>
          <w:color w:val="auto"/>
        </w:rPr>
      </w:pPr>
      <w:bookmarkStart w:id="260" w:name="_Toc28363"/>
      <w:bookmarkStart w:id="261" w:name="_Toc4679"/>
      <w:bookmarkStart w:id="262" w:name="_Toc2597"/>
      <w:bookmarkStart w:id="263" w:name="_Toc29018"/>
      <w:r>
        <w:rPr>
          <w:rFonts w:hint="eastAsia"/>
          <w:color w:val="auto"/>
        </w:rPr>
        <w:t>8.4  长</w:t>
      </w:r>
      <w:r>
        <w:rPr>
          <w:rFonts w:hint="eastAsia"/>
          <w:color w:val="auto"/>
          <w:lang w:eastAsia="zh-CN"/>
        </w:rPr>
        <w:t>期</w:t>
      </w:r>
      <w:r>
        <w:rPr>
          <w:rFonts w:hint="eastAsia"/>
          <w:color w:val="auto"/>
        </w:rPr>
        <w:t>性能和耐久性能检验</w:t>
      </w:r>
      <w:bookmarkEnd w:id="260"/>
      <w:bookmarkEnd w:id="261"/>
      <w:bookmarkEnd w:id="262"/>
      <w:bookmarkEnd w:id="263"/>
    </w:p>
    <w:p>
      <w:pPr>
        <w:spacing w:line="360" w:lineRule="auto"/>
        <w:rPr>
          <w:rFonts w:hint="eastAsia"/>
          <w:color w:val="auto"/>
          <w:sz w:val="24"/>
        </w:rPr>
      </w:pPr>
      <w:r>
        <w:rPr>
          <w:rFonts w:hint="eastAsia"/>
          <w:b/>
          <w:color w:val="auto"/>
          <w:sz w:val="24"/>
        </w:rPr>
        <w:t>8.4.1</w:t>
      </w:r>
      <w:r>
        <w:rPr>
          <w:rFonts w:hint="eastAsia"/>
          <w:color w:val="auto"/>
          <w:sz w:val="24"/>
        </w:rPr>
        <w:t xml:space="preserve"> </w:t>
      </w:r>
      <w:r>
        <w:rPr>
          <w:rFonts w:hint="eastAsia" w:eastAsia="宋体" w:cs="Times New Roman"/>
          <w:b w:val="0"/>
          <w:bCs/>
          <w:color w:val="auto"/>
          <w:sz w:val="24"/>
          <w:lang w:val="en-US" w:eastAsia="zh-CN"/>
        </w:rPr>
        <w:t>本条规定了特细砂混凝土长期性能和耐久性能试验依据。</w:t>
      </w:r>
    </w:p>
    <w:p>
      <w:pPr>
        <w:spacing w:line="360" w:lineRule="auto"/>
        <w:rPr>
          <w:rFonts w:hint="eastAsia"/>
          <w:color w:val="auto"/>
          <w:sz w:val="24"/>
        </w:rPr>
      </w:pPr>
      <w:r>
        <w:rPr>
          <w:rFonts w:hint="eastAsia"/>
          <w:b/>
          <w:color w:val="auto"/>
          <w:sz w:val="24"/>
        </w:rPr>
        <w:t>8</w:t>
      </w:r>
      <w:r>
        <w:rPr>
          <w:b/>
          <w:color w:val="auto"/>
          <w:sz w:val="24"/>
        </w:rPr>
        <w:t>.</w:t>
      </w:r>
      <w:r>
        <w:rPr>
          <w:rFonts w:hint="eastAsia"/>
          <w:b/>
          <w:color w:val="auto"/>
          <w:sz w:val="24"/>
        </w:rPr>
        <w:t>4</w:t>
      </w:r>
      <w:r>
        <w:rPr>
          <w:b/>
          <w:color w:val="auto"/>
          <w:sz w:val="24"/>
        </w:rPr>
        <w:t>.</w:t>
      </w:r>
      <w:r>
        <w:rPr>
          <w:rFonts w:hint="eastAsia"/>
          <w:b/>
          <w:color w:val="auto"/>
          <w:sz w:val="24"/>
        </w:rPr>
        <w:t>2</w:t>
      </w:r>
      <w:r>
        <w:rPr>
          <w:color w:val="auto"/>
          <w:sz w:val="24"/>
        </w:rPr>
        <w:t xml:space="preserve"> </w:t>
      </w:r>
      <w:r>
        <w:rPr>
          <w:rFonts w:hint="eastAsia" w:eastAsia="宋体" w:cs="Times New Roman"/>
          <w:b w:val="0"/>
          <w:bCs/>
          <w:color w:val="auto"/>
          <w:sz w:val="24"/>
          <w:lang w:val="en-US" w:eastAsia="zh-CN"/>
        </w:rPr>
        <w:t>本条规定了特细砂混凝土碱骨料含量应符合的质量要求。</w:t>
      </w:r>
    </w:p>
    <w:p>
      <w:pPr>
        <w:pStyle w:val="3"/>
        <w:keepNext/>
        <w:keepLines/>
        <w:pageBreakBefore w:val="0"/>
        <w:widowControl w:val="0"/>
        <w:kinsoku/>
        <w:wordWrap/>
        <w:overflowPunct/>
        <w:topLinePunct w:val="0"/>
        <w:autoSpaceDE/>
        <w:autoSpaceDN/>
        <w:bidi w:val="0"/>
        <w:adjustRightInd/>
        <w:snapToGrid/>
        <w:spacing w:after="120" w:line="416" w:lineRule="auto"/>
        <w:textAlignment w:val="auto"/>
        <w:rPr>
          <w:rFonts w:hint="eastAsia"/>
          <w:color w:val="auto"/>
        </w:rPr>
      </w:pPr>
      <w:bookmarkStart w:id="264" w:name="_Toc16431"/>
      <w:bookmarkStart w:id="265" w:name="_Toc30093"/>
      <w:bookmarkStart w:id="266" w:name="_Toc157"/>
      <w:bookmarkStart w:id="267" w:name="_Toc10089"/>
      <w:r>
        <w:rPr>
          <w:rFonts w:hint="eastAsia"/>
          <w:color w:val="auto"/>
        </w:rPr>
        <w:t>8.5  混凝土工程验收</w:t>
      </w:r>
      <w:bookmarkEnd w:id="264"/>
      <w:bookmarkEnd w:id="265"/>
      <w:bookmarkEnd w:id="266"/>
      <w:bookmarkEnd w:id="267"/>
    </w:p>
    <w:p>
      <w:pPr>
        <w:spacing w:line="360" w:lineRule="auto"/>
        <w:rPr>
          <w:rFonts w:hint="eastAsia" w:eastAsia="宋体" w:cs="Times New Roman"/>
          <w:b w:val="0"/>
          <w:bCs/>
          <w:color w:val="auto"/>
          <w:sz w:val="24"/>
          <w:lang w:val="en-US" w:eastAsia="zh-CN"/>
        </w:rPr>
      </w:pPr>
      <w:r>
        <w:rPr>
          <w:rFonts w:hint="eastAsia"/>
          <w:b/>
          <w:color w:val="auto"/>
          <w:sz w:val="24"/>
        </w:rPr>
        <w:t>8.5.1</w:t>
      </w:r>
      <w:r>
        <w:rPr>
          <w:rFonts w:hint="eastAsia"/>
          <w:color w:val="auto"/>
          <w:sz w:val="24"/>
        </w:rPr>
        <w:t xml:space="preserve">  </w:t>
      </w:r>
      <w:r>
        <w:rPr>
          <w:rFonts w:hint="eastAsia" w:eastAsia="宋体" w:cs="Times New Roman"/>
          <w:b w:val="0"/>
          <w:bCs/>
          <w:color w:val="auto"/>
          <w:sz w:val="24"/>
          <w:lang w:val="en-US" w:eastAsia="zh-CN"/>
        </w:rPr>
        <w:t>本条规定了特细砂混凝土抗压强度的评定依据。</w:t>
      </w:r>
    </w:p>
    <w:p>
      <w:pPr>
        <w:spacing w:line="360" w:lineRule="auto"/>
        <w:rPr>
          <w:rFonts w:hint="eastAsia" w:eastAsia="宋体" w:cs="Times New Roman"/>
          <w:b w:val="0"/>
          <w:bCs/>
          <w:color w:val="auto"/>
          <w:sz w:val="24"/>
          <w:lang w:val="en-US" w:eastAsia="zh-CN"/>
        </w:rPr>
      </w:pPr>
      <w:r>
        <w:rPr>
          <w:rFonts w:hint="eastAsia"/>
          <w:b/>
          <w:color w:val="auto"/>
          <w:sz w:val="24"/>
        </w:rPr>
        <w:t>8.5.2</w:t>
      </w:r>
      <w:r>
        <w:rPr>
          <w:rFonts w:hint="eastAsia"/>
          <w:color w:val="auto"/>
          <w:sz w:val="24"/>
        </w:rPr>
        <w:t xml:space="preserve">  </w:t>
      </w:r>
      <w:r>
        <w:rPr>
          <w:rFonts w:hint="eastAsia" w:eastAsia="宋体" w:cs="Times New Roman"/>
          <w:b w:val="0"/>
          <w:bCs/>
          <w:color w:val="auto"/>
          <w:sz w:val="24"/>
          <w:lang w:val="en-US" w:eastAsia="zh-CN"/>
        </w:rPr>
        <w:t>本条规定了特细砂混凝土长期性能和耐久性能的评定依据。</w:t>
      </w:r>
    </w:p>
    <w:p>
      <w:pPr>
        <w:spacing w:line="360" w:lineRule="auto"/>
        <w:rPr>
          <w:rFonts w:hint="eastAsia" w:eastAsia="宋体" w:cs="Times New Roman"/>
          <w:b w:val="0"/>
          <w:bCs/>
          <w:color w:val="auto"/>
          <w:sz w:val="24"/>
          <w:lang w:val="en-US" w:eastAsia="zh-CN"/>
        </w:rPr>
      </w:pPr>
      <w:r>
        <w:rPr>
          <w:rFonts w:hint="eastAsia"/>
          <w:b/>
          <w:color w:val="auto"/>
          <w:sz w:val="24"/>
        </w:rPr>
        <w:t>8.5.3</w:t>
      </w:r>
      <w:r>
        <w:rPr>
          <w:rFonts w:hint="eastAsia"/>
          <w:color w:val="auto"/>
          <w:sz w:val="24"/>
        </w:rPr>
        <w:t xml:space="preserve">  </w:t>
      </w:r>
      <w:r>
        <w:rPr>
          <w:rFonts w:hint="eastAsia" w:eastAsia="宋体" w:cs="Times New Roman"/>
          <w:b w:val="0"/>
          <w:bCs/>
          <w:color w:val="auto"/>
          <w:sz w:val="24"/>
          <w:lang w:val="en-US" w:eastAsia="zh-CN"/>
        </w:rPr>
        <w:t>本条规定了特细砂混凝土有特殊要求的其他试验项目的检测结果应符合的质量要求。</w:t>
      </w:r>
    </w:p>
    <w:p>
      <w:pPr>
        <w:spacing w:line="360" w:lineRule="auto"/>
        <w:rPr>
          <w:rFonts w:hint="eastAsia" w:eastAsia="宋体" w:cs="Times New Roman"/>
          <w:b w:val="0"/>
          <w:bCs/>
          <w:color w:val="auto"/>
          <w:sz w:val="24"/>
          <w:lang w:val="en-US" w:eastAsia="zh-CN"/>
        </w:rPr>
      </w:pPr>
      <w:r>
        <w:rPr>
          <w:rFonts w:hint="eastAsia"/>
          <w:b/>
          <w:color w:val="auto"/>
          <w:sz w:val="24"/>
        </w:rPr>
        <w:t>8.5.4</w:t>
      </w:r>
      <w:r>
        <w:rPr>
          <w:rFonts w:hint="eastAsia"/>
          <w:color w:val="auto"/>
          <w:sz w:val="24"/>
        </w:rPr>
        <w:t xml:space="preserve"> </w:t>
      </w:r>
      <w:r>
        <w:rPr>
          <w:rFonts w:hint="eastAsia" w:eastAsia="宋体" w:cs="Times New Roman"/>
          <w:b w:val="0"/>
          <w:bCs/>
          <w:color w:val="auto"/>
          <w:sz w:val="24"/>
          <w:lang w:val="en-US" w:eastAsia="zh-CN"/>
        </w:rPr>
        <w:t xml:space="preserve"> 本条规定了特细砂混凝土的工程质量验收依据。</w:t>
      </w:r>
    </w:p>
    <w:sectPr>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13"/>
        <w:tab w:val="left" w:pos="624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LhXM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MuFczgCAABvBAAADgAAAAAAAAABACAAAAAfAQAAZHJzL2Uyb0RvYy54&#10;bWxQSwUGAAAAAAYABgBZAQAAyQ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11</w:t>
                    </w:r>
                    <w:r>
                      <w:fldChar w:fldCharType="end"/>
                    </w:r>
                  </w:p>
                </w:txbxContent>
              </v:textbox>
            </v:shape>
          </w:pict>
        </mc:Fallback>
      </mc:AlternateContent>
    </w:r>
    <w:r>
      <w:rPr>
        <w:rFonts w:hint="eastAsia"/>
      </w:rPr>
      <w:tab/>
    </w:r>
    <w:r>
      <w:rPr>
        <w:rFonts w:hint="eastAsia"/>
      </w:rPr>
      <w:tab/>
    </w:r>
  </w:p>
  <w:p>
    <w:pPr>
      <w:pStyle w:val="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13"/>
        <w:tab w:val="left" w:pos="6246"/>
      </w:tabs>
    </w:pPr>
    <w:r>
      <w:rPr>
        <w:rFonts w:hint="eastAsia"/>
      </w:rPr>
      <w:tab/>
    </w:r>
    <w:r>
      <w:rPr>
        <w:rFonts w:hint="eastAsia"/>
      </w:rPr>
      <w:tab/>
    </w:r>
  </w:p>
  <w:p>
    <w:pPr>
      <w:pStyle w:val="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13"/>
        <w:tab w:val="left" w:pos="624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r>
      <w:rPr>
        <w:rFonts w:hint="eastAsia"/>
      </w:rPr>
      <w:tab/>
    </w:r>
    <w:r>
      <w:rPr>
        <w:rFonts w:hint="eastAsia"/>
      </w:rPr>
      <w:tab/>
    </w:r>
  </w:p>
  <w:p>
    <w:pPr>
      <w:pStyle w:val="7"/>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lEV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LQ0br6UHUP&#10;MIWWha3eWR7TRKm8XR0DpE2KR4E6VdCpeMAcpp71OxMH/c9zinr8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npRFaNwIAAG8EAAAOAAAAAAAAAAEAIAAAAB8BAABkcnMvZTJvRG9jLnht&#10;bFBLBQYAAAAABgAGAFkBAADIBQ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OTMwMTIwNGYxNTk5MTI2MWQzZmVhYmRmMDUzYjkifQ=="/>
  </w:docVars>
  <w:rsids>
    <w:rsidRoot w:val="00EE3CF7"/>
    <w:rsid w:val="00002EF1"/>
    <w:rsid w:val="00012BF4"/>
    <w:rsid w:val="00045EF2"/>
    <w:rsid w:val="000664DB"/>
    <w:rsid w:val="00083FD9"/>
    <w:rsid w:val="000840C5"/>
    <w:rsid w:val="00094745"/>
    <w:rsid w:val="000A3590"/>
    <w:rsid w:val="000C53B3"/>
    <w:rsid w:val="000D1587"/>
    <w:rsid w:val="00126DD1"/>
    <w:rsid w:val="00136B9C"/>
    <w:rsid w:val="00142667"/>
    <w:rsid w:val="00177ADF"/>
    <w:rsid w:val="001946C5"/>
    <w:rsid w:val="002330EB"/>
    <w:rsid w:val="002341DA"/>
    <w:rsid w:val="00244537"/>
    <w:rsid w:val="00245F80"/>
    <w:rsid w:val="0027575B"/>
    <w:rsid w:val="00277992"/>
    <w:rsid w:val="00284666"/>
    <w:rsid w:val="002A6B9D"/>
    <w:rsid w:val="002B0A67"/>
    <w:rsid w:val="002D25F5"/>
    <w:rsid w:val="002D54AB"/>
    <w:rsid w:val="002D7970"/>
    <w:rsid w:val="0034263D"/>
    <w:rsid w:val="00350AA7"/>
    <w:rsid w:val="003B48CF"/>
    <w:rsid w:val="003B557C"/>
    <w:rsid w:val="003C7080"/>
    <w:rsid w:val="003D50C2"/>
    <w:rsid w:val="003E1D91"/>
    <w:rsid w:val="003F26DA"/>
    <w:rsid w:val="004106C7"/>
    <w:rsid w:val="00420261"/>
    <w:rsid w:val="004211D3"/>
    <w:rsid w:val="004232CF"/>
    <w:rsid w:val="00437909"/>
    <w:rsid w:val="00443C35"/>
    <w:rsid w:val="00446E19"/>
    <w:rsid w:val="0045380C"/>
    <w:rsid w:val="00466A44"/>
    <w:rsid w:val="0047383E"/>
    <w:rsid w:val="00483492"/>
    <w:rsid w:val="004934D8"/>
    <w:rsid w:val="004B56BD"/>
    <w:rsid w:val="004C6625"/>
    <w:rsid w:val="004D129B"/>
    <w:rsid w:val="004F3424"/>
    <w:rsid w:val="005435A1"/>
    <w:rsid w:val="005631BB"/>
    <w:rsid w:val="0056443F"/>
    <w:rsid w:val="00575C68"/>
    <w:rsid w:val="00590B00"/>
    <w:rsid w:val="005B1DCE"/>
    <w:rsid w:val="006066C9"/>
    <w:rsid w:val="00623F19"/>
    <w:rsid w:val="00631C49"/>
    <w:rsid w:val="006339CA"/>
    <w:rsid w:val="00691085"/>
    <w:rsid w:val="006F2B7B"/>
    <w:rsid w:val="00701109"/>
    <w:rsid w:val="00706990"/>
    <w:rsid w:val="0072201F"/>
    <w:rsid w:val="00742366"/>
    <w:rsid w:val="00757859"/>
    <w:rsid w:val="007A7261"/>
    <w:rsid w:val="007B57F7"/>
    <w:rsid w:val="0080218A"/>
    <w:rsid w:val="008068DA"/>
    <w:rsid w:val="00823475"/>
    <w:rsid w:val="00831C67"/>
    <w:rsid w:val="008365BE"/>
    <w:rsid w:val="00850966"/>
    <w:rsid w:val="008760BF"/>
    <w:rsid w:val="00883954"/>
    <w:rsid w:val="008B7A5D"/>
    <w:rsid w:val="008D32F5"/>
    <w:rsid w:val="00940C58"/>
    <w:rsid w:val="00963F9B"/>
    <w:rsid w:val="0098376A"/>
    <w:rsid w:val="0099004A"/>
    <w:rsid w:val="009C6AE2"/>
    <w:rsid w:val="009E3199"/>
    <w:rsid w:val="009F7169"/>
    <w:rsid w:val="00A26A2D"/>
    <w:rsid w:val="00A273F5"/>
    <w:rsid w:val="00A27E70"/>
    <w:rsid w:val="00A30FA0"/>
    <w:rsid w:val="00A34C07"/>
    <w:rsid w:val="00A50632"/>
    <w:rsid w:val="00A51542"/>
    <w:rsid w:val="00A6314C"/>
    <w:rsid w:val="00A77679"/>
    <w:rsid w:val="00A77B3F"/>
    <w:rsid w:val="00A84B80"/>
    <w:rsid w:val="00A953E2"/>
    <w:rsid w:val="00A96B39"/>
    <w:rsid w:val="00AE66C9"/>
    <w:rsid w:val="00AF35B7"/>
    <w:rsid w:val="00AF455E"/>
    <w:rsid w:val="00B0055D"/>
    <w:rsid w:val="00B04FE6"/>
    <w:rsid w:val="00B163DA"/>
    <w:rsid w:val="00B31763"/>
    <w:rsid w:val="00B369D2"/>
    <w:rsid w:val="00B65D97"/>
    <w:rsid w:val="00B93A6C"/>
    <w:rsid w:val="00BA5B3A"/>
    <w:rsid w:val="00BC1641"/>
    <w:rsid w:val="00BC1CA2"/>
    <w:rsid w:val="00BD275A"/>
    <w:rsid w:val="00BD38DC"/>
    <w:rsid w:val="00BE47E8"/>
    <w:rsid w:val="00BE710C"/>
    <w:rsid w:val="00BE7C80"/>
    <w:rsid w:val="00BF39E2"/>
    <w:rsid w:val="00C1247F"/>
    <w:rsid w:val="00C12CB3"/>
    <w:rsid w:val="00C1685F"/>
    <w:rsid w:val="00C17BB1"/>
    <w:rsid w:val="00C25B5D"/>
    <w:rsid w:val="00C3188C"/>
    <w:rsid w:val="00C322EA"/>
    <w:rsid w:val="00C43496"/>
    <w:rsid w:val="00C43E52"/>
    <w:rsid w:val="00C928D7"/>
    <w:rsid w:val="00CD40A9"/>
    <w:rsid w:val="00CD5323"/>
    <w:rsid w:val="00D10C5B"/>
    <w:rsid w:val="00D11326"/>
    <w:rsid w:val="00D24B83"/>
    <w:rsid w:val="00D5492C"/>
    <w:rsid w:val="00D62002"/>
    <w:rsid w:val="00D80FE7"/>
    <w:rsid w:val="00D9228C"/>
    <w:rsid w:val="00DD2144"/>
    <w:rsid w:val="00DE4EC2"/>
    <w:rsid w:val="00DE7573"/>
    <w:rsid w:val="00DF2423"/>
    <w:rsid w:val="00E07E0B"/>
    <w:rsid w:val="00E35F53"/>
    <w:rsid w:val="00E55C70"/>
    <w:rsid w:val="00E63178"/>
    <w:rsid w:val="00E657BC"/>
    <w:rsid w:val="00E75C17"/>
    <w:rsid w:val="00EB1CD6"/>
    <w:rsid w:val="00EB5DB6"/>
    <w:rsid w:val="00EE0CB5"/>
    <w:rsid w:val="00EE3CF7"/>
    <w:rsid w:val="00F01155"/>
    <w:rsid w:val="00F043E4"/>
    <w:rsid w:val="00F05B4A"/>
    <w:rsid w:val="00F21F18"/>
    <w:rsid w:val="00F440CB"/>
    <w:rsid w:val="00F61862"/>
    <w:rsid w:val="00F8615A"/>
    <w:rsid w:val="00FA29F8"/>
    <w:rsid w:val="00FE0D04"/>
    <w:rsid w:val="01803366"/>
    <w:rsid w:val="02766687"/>
    <w:rsid w:val="02A62A12"/>
    <w:rsid w:val="04D1340D"/>
    <w:rsid w:val="053A5BD3"/>
    <w:rsid w:val="0548625C"/>
    <w:rsid w:val="05945172"/>
    <w:rsid w:val="05A501C4"/>
    <w:rsid w:val="0603020D"/>
    <w:rsid w:val="0685234D"/>
    <w:rsid w:val="077F0E90"/>
    <w:rsid w:val="077F40EB"/>
    <w:rsid w:val="07E970A9"/>
    <w:rsid w:val="08464471"/>
    <w:rsid w:val="0A0D4F42"/>
    <w:rsid w:val="0A161FFA"/>
    <w:rsid w:val="0A1962DE"/>
    <w:rsid w:val="0A791761"/>
    <w:rsid w:val="0A80367C"/>
    <w:rsid w:val="0B0D507A"/>
    <w:rsid w:val="0B2B7DEE"/>
    <w:rsid w:val="0B861FA9"/>
    <w:rsid w:val="0BB03CCA"/>
    <w:rsid w:val="0BD118F3"/>
    <w:rsid w:val="0C1378CE"/>
    <w:rsid w:val="0CB244AC"/>
    <w:rsid w:val="0D58388C"/>
    <w:rsid w:val="0D681E18"/>
    <w:rsid w:val="0E6B65F0"/>
    <w:rsid w:val="0F2179B4"/>
    <w:rsid w:val="0F4905FB"/>
    <w:rsid w:val="0FF86CEC"/>
    <w:rsid w:val="10144126"/>
    <w:rsid w:val="104E288E"/>
    <w:rsid w:val="108013AE"/>
    <w:rsid w:val="10A634C0"/>
    <w:rsid w:val="1273372D"/>
    <w:rsid w:val="13C4728A"/>
    <w:rsid w:val="150F4088"/>
    <w:rsid w:val="1596229C"/>
    <w:rsid w:val="163675C9"/>
    <w:rsid w:val="163773E0"/>
    <w:rsid w:val="164F3802"/>
    <w:rsid w:val="178371C6"/>
    <w:rsid w:val="17C92754"/>
    <w:rsid w:val="17F963B1"/>
    <w:rsid w:val="17FD73D7"/>
    <w:rsid w:val="18190A69"/>
    <w:rsid w:val="189B1944"/>
    <w:rsid w:val="18DB4CE1"/>
    <w:rsid w:val="191774BC"/>
    <w:rsid w:val="19A56B9F"/>
    <w:rsid w:val="1A316AE5"/>
    <w:rsid w:val="1A604514"/>
    <w:rsid w:val="1A692212"/>
    <w:rsid w:val="1AC91BA6"/>
    <w:rsid w:val="1AE06816"/>
    <w:rsid w:val="1B0A4EBE"/>
    <w:rsid w:val="1B0D142E"/>
    <w:rsid w:val="1B244C1D"/>
    <w:rsid w:val="1B3153B3"/>
    <w:rsid w:val="1BE57DCC"/>
    <w:rsid w:val="1C292B73"/>
    <w:rsid w:val="1C3A5DA4"/>
    <w:rsid w:val="1C481473"/>
    <w:rsid w:val="1C5A1176"/>
    <w:rsid w:val="1D063C90"/>
    <w:rsid w:val="1D717C7F"/>
    <w:rsid w:val="1D9A6462"/>
    <w:rsid w:val="1DE13AEB"/>
    <w:rsid w:val="1E9C40DB"/>
    <w:rsid w:val="1F6862B8"/>
    <w:rsid w:val="1FC60174"/>
    <w:rsid w:val="20322BB2"/>
    <w:rsid w:val="2111366A"/>
    <w:rsid w:val="21A840E9"/>
    <w:rsid w:val="21D820CD"/>
    <w:rsid w:val="2245694D"/>
    <w:rsid w:val="22A82531"/>
    <w:rsid w:val="22D3362D"/>
    <w:rsid w:val="233E2579"/>
    <w:rsid w:val="239110BC"/>
    <w:rsid w:val="23A63EE8"/>
    <w:rsid w:val="23F4797D"/>
    <w:rsid w:val="24376894"/>
    <w:rsid w:val="243E704F"/>
    <w:rsid w:val="245B3CFA"/>
    <w:rsid w:val="24A959A0"/>
    <w:rsid w:val="25A33A99"/>
    <w:rsid w:val="25AB3B0A"/>
    <w:rsid w:val="261250CE"/>
    <w:rsid w:val="263E7D24"/>
    <w:rsid w:val="279D7840"/>
    <w:rsid w:val="27EF7045"/>
    <w:rsid w:val="28706EC6"/>
    <w:rsid w:val="28E6429B"/>
    <w:rsid w:val="292B24F1"/>
    <w:rsid w:val="29581FE9"/>
    <w:rsid w:val="2991535A"/>
    <w:rsid w:val="2A7418BC"/>
    <w:rsid w:val="2AD7248B"/>
    <w:rsid w:val="2AE7059E"/>
    <w:rsid w:val="2BC675BA"/>
    <w:rsid w:val="2D9942C9"/>
    <w:rsid w:val="2E193B66"/>
    <w:rsid w:val="2E633F38"/>
    <w:rsid w:val="2E6A403C"/>
    <w:rsid w:val="2EBD4AC8"/>
    <w:rsid w:val="2ED04099"/>
    <w:rsid w:val="2EF762A6"/>
    <w:rsid w:val="2F7D0A8B"/>
    <w:rsid w:val="3078306C"/>
    <w:rsid w:val="30AA3093"/>
    <w:rsid w:val="310C13B5"/>
    <w:rsid w:val="31152182"/>
    <w:rsid w:val="326879B9"/>
    <w:rsid w:val="33215B50"/>
    <w:rsid w:val="335078E0"/>
    <w:rsid w:val="33513C8A"/>
    <w:rsid w:val="33A76A9C"/>
    <w:rsid w:val="33E8712D"/>
    <w:rsid w:val="351A4295"/>
    <w:rsid w:val="353743FC"/>
    <w:rsid w:val="358842FB"/>
    <w:rsid w:val="35EE06B3"/>
    <w:rsid w:val="364C5E4A"/>
    <w:rsid w:val="36B60103"/>
    <w:rsid w:val="36BB7586"/>
    <w:rsid w:val="37C06ED1"/>
    <w:rsid w:val="38301BC8"/>
    <w:rsid w:val="3850407A"/>
    <w:rsid w:val="386C5FA4"/>
    <w:rsid w:val="38AA249B"/>
    <w:rsid w:val="38DE77C1"/>
    <w:rsid w:val="392473A9"/>
    <w:rsid w:val="3943168D"/>
    <w:rsid w:val="395C42A5"/>
    <w:rsid w:val="39BA5D55"/>
    <w:rsid w:val="39D224C9"/>
    <w:rsid w:val="3B8F6AA1"/>
    <w:rsid w:val="3BE337B1"/>
    <w:rsid w:val="3C01114E"/>
    <w:rsid w:val="3C1742AB"/>
    <w:rsid w:val="3C614EE9"/>
    <w:rsid w:val="3CC10707"/>
    <w:rsid w:val="3CF3740D"/>
    <w:rsid w:val="3D095D90"/>
    <w:rsid w:val="3DAB0C4B"/>
    <w:rsid w:val="3E631416"/>
    <w:rsid w:val="3E81144D"/>
    <w:rsid w:val="3EAC292A"/>
    <w:rsid w:val="3EFC5191"/>
    <w:rsid w:val="3F7F3D23"/>
    <w:rsid w:val="3F987928"/>
    <w:rsid w:val="3FD45810"/>
    <w:rsid w:val="40014320"/>
    <w:rsid w:val="4082684E"/>
    <w:rsid w:val="42110D1F"/>
    <w:rsid w:val="4221573B"/>
    <w:rsid w:val="42703679"/>
    <w:rsid w:val="42985397"/>
    <w:rsid w:val="434A65DE"/>
    <w:rsid w:val="4401222F"/>
    <w:rsid w:val="441C419A"/>
    <w:rsid w:val="443676AB"/>
    <w:rsid w:val="448C59F1"/>
    <w:rsid w:val="44DA6B9D"/>
    <w:rsid w:val="45B87A48"/>
    <w:rsid w:val="45DA2EE3"/>
    <w:rsid w:val="45DD4382"/>
    <w:rsid w:val="4623790C"/>
    <w:rsid w:val="468D05D1"/>
    <w:rsid w:val="46C02572"/>
    <w:rsid w:val="4786713C"/>
    <w:rsid w:val="47A906B0"/>
    <w:rsid w:val="47B311A6"/>
    <w:rsid w:val="485022DA"/>
    <w:rsid w:val="48D348E2"/>
    <w:rsid w:val="49BE1F33"/>
    <w:rsid w:val="49E91578"/>
    <w:rsid w:val="4A986620"/>
    <w:rsid w:val="4A9C3476"/>
    <w:rsid w:val="4B614F51"/>
    <w:rsid w:val="4C0F02D2"/>
    <w:rsid w:val="4CB43D3E"/>
    <w:rsid w:val="4CBC33EA"/>
    <w:rsid w:val="4CC3153A"/>
    <w:rsid w:val="4D1B77B8"/>
    <w:rsid w:val="4EB772CD"/>
    <w:rsid w:val="4ED970DD"/>
    <w:rsid w:val="501A6DC5"/>
    <w:rsid w:val="50C84B6B"/>
    <w:rsid w:val="50CC6ACC"/>
    <w:rsid w:val="51255BEA"/>
    <w:rsid w:val="51551FF3"/>
    <w:rsid w:val="51B1286A"/>
    <w:rsid w:val="51F73471"/>
    <w:rsid w:val="52444CAD"/>
    <w:rsid w:val="537271F9"/>
    <w:rsid w:val="53A64F61"/>
    <w:rsid w:val="547B34E3"/>
    <w:rsid w:val="54C741E7"/>
    <w:rsid w:val="56554146"/>
    <w:rsid w:val="56A83FF1"/>
    <w:rsid w:val="56F64A8F"/>
    <w:rsid w:val="574F0FBD"/>
    <w:rsid w:val="5834723E"/>
    <w:rsid w:val="58AA2C68"/>
    <w:rsid w:val="58FE67B2"/>
    <w:rsid w:val="5901237D"/>
    <w:rsid w:val="592364CA"/>
    <w:rsid w:val="5A057F74"/>
    <w:rsid w:val="5A0F2DE9"/>
    <w:rsid w:val="5A8311E9"/>
    <w:rsid w:val="5AE8770F"/>
    <w:rsid w:val="5B28477F"/>
    <w:rsid w:val="5B920612"/>
    <w:rsid w:val="5C8E2B48"/>
    <w:rsid w:val="5CCB5C99"/>
    <w:rsid w:val="5CD3066E"/>
    <w:rsid w:val="5DCE387A"/>
    <w:rsid w:val="5E40626B"/>
    <w:rsid w:val="5EE07504"/>
    <w:rsid w:val="5FD077D3"/>
    <w:rsid w:val="60297BC8"/>
    <w:rsid w:val="60C64EC8"/>
    <w:rsid w:val="60C72A5D"/>
    <w:rsid w:val="60E55D3F"/>
    <w:rsid w:val="60EA33EE"/>
    <w:rsid w:val="61672A13"/>
    <w:rsid w:val="61F31A66"/>
    <w:rsid w:val="63283AA5"/>
    <w:rsid w:val="64655C3D"/>
    <w:rsid w:val="647E7F08"/>
    <w:rsid w:val="65DE1C6D"/>
    <w:rsid w:val="6674464B"/>
    <w:rsid w:val="66C40811"/>
    <w:rsid w:val="66F64F6F"/>
    <w:rsid w:val="67B258E9"/>
    <w:rsid w:val="67DD5421"/>
    <w:rsid w:val="67EF4454"/>
    <w:rsid w:val="685E69AA"/>
    <w:rsid w:val="686C416C"/>
    <w:rsid w:val="688C6513"/>
    <w:rsid w:val="68CC1ADD"/>
    <w:rsid w:val="699F189C"/>
    <w:rsid w:val="6A5E35AC"/>
    <w:rsid w:val="6B3D07B6"/>
    <w:rsid w:val="6B727BD9"/>
    <w:rsid w:val="6BA518FF"/>
    <w:rsid w:val="6C377216"/>
    <w:rsid w:val="6C810F47"/>
    <w:rsid w:val="6C9F5AD5"/>
    <w:rsid w:val="6D8B04CE"/>
    <w:rsid w:val="6DA562B2"/>
    <w:rsid w:val="6DC1589C"/>
    <w:rsid w:val="6E240DBC"/>
    <w:rsid w:val="6EFB27B0"/>
    <w:rsid w:val="6F9A783B"/>
    <w:rsid w:val="6FA33D6C"/>
    <w:rsid w:val="6FB85309"/>
    <w:rsid w:val="6FF65AFA"/>
    <w:rsid w:val="706F58CB"/>
    <w:rsid w:val="710947FB"/>
    <w:rsid w:val="71880B9C"/>
    <w:rsid w:val="71CB3FB3"/>
    <w:rsid w:val="71D617F1"/>
    <w:rsid w:val="71ED02F7"/>
    <w:rsid w:val="720332DA"/>
    <w:rsid w:val="72384543"/>
    <w:rsid w:val="72AF76F2"/>
    <w:rsid w:val="72D3170D"/>
    <w:rsid w:val="72E80782"/>
    <w:rsid w:val="72F569B6"/>
    <w:rsid w:val="742E5B89"/>
    <w:rsid w:val="75D93396"/>
    <w:rsid w:val="76086A82"/>
    <w:rsid w:val="766C3BA5"/>
    <w:rsid w:val="77492084"/>
    <w:rsid w:val="778A7D52"/>
    <w:rsid w:val="77931481"/>
    <w:rsid w:val="77C67F2E"/>
    <w:rsid w:val="788C42EA"/>
    <w:rsid w:val="78BA7A1D"/>
    <w:rsid w:val="79A3705C"/>
    <w:rsid w:val="79E16613"/>
    <w:rsid w:val="7A433037"/>
    <w:rsid w:val="7A866DA2"/>
    <w:rsid w:val="7A8D7444"/>
    <w:rsid w:val="7AB14E17"/>
    <w:rsid w:val="7AB25B77"/>
    <w:rsid w:val="7B8047C3"/>
    <w:rsid w:val="7C54465E"/>
    <w:rsid w:val="7CE11DD0"/>
    <w:rsid w:val="7CE60B81"/>
    <w:rsid w:val="7D6E144D"/>
    <w:rsid w:val="7D8B712C"/>
    <w:rsid w:val="7E2071C4"/>
    <w:rsid w:val="7E6F127F"/>
    <w:rsid w:val="7EF077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40"/>
      <w:jc w:val="center"/>
      <w:outlineLvl w:val="0"/>
    </w:pPr>
    <w:rPr>
      <w:rFonts w:eastAsia="宋体"/>
      <w:b/>
      <w:bCs/>
      <w:kern w:val="44"/>
      <w:sz w:val="30"/>
    </w:rPr>
  </w:style>
  <w:style w:type="paragraph" w:styleId="3">
    <w:name w:val="heading 2"/>
    <w:basedOn w:val="1"/>
    <w:next w:val="1"/>
    <w:link w:val="17"/>
    <w:qFormat/>
    <w:uiPriority w:val="0"/>
    <w:pPr>
      <w:keepNext/>
      <w:keepLines/>
      <w:spacing w:before="260" w:after="260" w:line="416" w:lineRule="auto"/>
      <w:jc w:val="center"/>
      <w:outlineLvl w:val="1"/>
    </w:pPr>
    <w:rPr>
      <w:rFonts w:eastAsia="宋体"/>
      <w:b/>
      <w:sz w:val="28"/>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bCs/>
      <w:sz w:val="28"/>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Date"/>
    <w:basedOn w:val="1"/>
    <w:next w:val="1"/>
    <w:link w:val="18"/>
    <w:qFormat/>
    <w:uiPriority w:val="0"/>
    <w:pPr>
      <w:ind w:left="100" w:leftChars="25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Title"/>
    <w:basedOn w:val="1"/>
    <w:next w:val="1"/>
    <w:qFormat/>
    <w:uiPriority w:val="0"/>
    <w:pPr>
      <w:spacing w:before="240" w:after="60"/>
      <w:jc w:val="center"/>
      <w:outlineLvl w:val="0"/>
    </w:pPr>
    <w:rPr>
      <w:b/>
      <w:bCs/>
      <w:sz w:val="28"/>
      <w:szCs w:val="2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 w:type="character" w:customStyle="1" w:styleId="16">
    <w:name w:val=" Char Char2"/>
    <w:link w:val="2"/>
    <w:qFormat/>
    <w:uiPriority w:val="0"/>
    <w:rPr>
      <w:rFonts w:ascii="Times New Roman" w:hAnsi="Times New Roman" w:eastAsia="宋体"/>
      <w:b/>
      <w:bCs/>
      <w:kern w:val="44"/>
      <w:sz w:val="30"/>
    </w:rPr>
  </w:style>
  <w:style w:type="character" w:customStyle="1" w:styleId="17">
    <w:name w:val=" Char Char1"/>
    <w:link w:val="3"/>
    <w:qFormat/>
    <w:uiPriority w:val="0"/>
    <w:rPr>
      <w:rFonts w:ascii="Times New Roman" w:hAnsi="Times New Roman" w:eastAsia="宋体"/>
      <w:b/>
      <w:sz w:val="28"/>
    </w:rPr>
  </w:style>
  <w:style w:type="character" w:customStyle="1" w:styleId="18">
    <w:name w:val=" Char Char"/>
    <w:link w:val="6"/>
    <w:qFormat/>
    <w:uiPriority w:val="0"/>
    <w:rPr>
      <w:rFonts w:ascii="Times New Roman" w:hAnsi="Times New Roman"/>
      <w:kern w:val="2"/>
      <w:sz w:val="21"/>
      <w:szCs w:val="24"/>
    </w:rPr>
  </w:style>
  <w:style w:type="paragraph" w:customStyle="1" w:styleId="19">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智能标题1"/>
    <w:basedOn w:val="1"/>
    <w:qFormat/>
    <w:uiPriority w:val="0"/>
    <w:pPr>
      <w:tabs>
        <w:tab w:val="left" w:pos="0"/>
        <w:tab w:val="left" w:pos="142"/>
      </w:tabs>
      <w:autoSpaceDN w:val="0"/>
      <w:spacing w:line="360" w:lineRule="auto"/>
      <w:jc w:val="center"/>
    </w:pPr>
    <w:rPr>
      <w:b/>
      <w:bCs/>
      <w:sz w:val="28"/>
      <w:szCs w:val="28"/>
    </w:rPr>
  </w:style>
  <w:style w:type="paragraph" w:customStyle="1" w:styleId="22">
    <w:name w:val="样式1"/>
    <w:basedOn w:val="1"/>
    <w:qFormat/>
    <w:uiPriority w:val="0"/>
    <w:pPr>
      <w:spacing w:line="360" w:lineRule="auto"/>
    </w:pPr>
  </w:style>
  <w:style w:type="paragraph" w:customStyle="1" w:styleId="23">
    <w:name w:val="List Paragraph"/>
    <w:basedOn w:val="1"/>
    <w:qFormat/>
    <w:uiPriority w:val="0"/>
    <w:pPr>
      <w:ind w:firstLine="420" w:firstLineChars="200"/>
    </w:pPr>
    <w:rPr>
      <w:rFonts w:ascii="等线" w:hAnsi="等线" w:eastAsia="等线"/>
      <w:szCs w:val="22"/>
    </w:rPr>
  </w:style>
  <w:style w:type="paragraph" w:customStyle="1" w:styleId="24">
    <w:name w:val="WPSOffice手动目录 1"/>
    <w:qFormat/>
    <w:uiPriority w:val="0"/>
    <w:pPr>
      <w:ind w:leftChars="0"/>
    </w:pPr>
    <w:rPr>
      <w:rFonts w:ascii="Calibri" w:hAnsi="Calibri" w:eastAsia="宋体" w:cs="Times New Roman"/>
      <w:sz w:val="20"/>
      <w:szCs w:val="20"/>
    </w:rPr>
  </w:style>
  <w:style w:type="paragraph" w:customStyle="1" w:styleId="25">
    <w:name w:val="WPSOffice手动目录 2"/>
    <w:qFormat/>
    <w:uiPriority w:val="0"/>
    <w:pPr>
      <w:ind w:leftChars="200"/>
    </w:pPr>
    <w:rPr>
      <w:rFonts w:ascii="Calibri" w:hAnsi="Calibri" w:eastAsia="宋体" w:cs="Times New Roman"/>
      <w:sz w:val="20"/>
      <w:szCs w:val="20"/>
    </w:rPr>
  </w:style>
  <w:style w:type="paragraph" w:customStyle="1" w:styleId="26">
    <w:name w:val="列出段落1"/>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P R C</Company>
  <Pages>40</Pages>
  <Words>14043</Words>
  <Characters>18099</Characters>
  <Lines>102</Lines>
  <Paragraphs>28</Paragraphs>
  <TotalTime>34</TotalTime>
  <ScaleCrop>false</ScaleCrop>
  <LinksUpToDate>false</LinksUpToDate>
  <CharactersWithSpaces>19846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2021-11-15T04:17:00Z</dcterms:created>
  <dc:creator>LENOVO</dc:creator>
  <cp:lastModifiedBy>MineJ</cp:lastModifiedBy>
  <cp:lastPrinted>2021-04-17T02:54:00Z</cp:lastPrinted>
  <dcterms:modified xsi:type="dcterms:W3CDTF">2022-06-10T07:55:09Z</dcterms:modified>
  <dc:title>安徽省土木建筑学会团体标准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50819D2FB015494F8B02B12B24395A12</vt:lpwstr>
  </property>
</Properties>
</file>